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AF" w:rsidRDefault="00BD2CAF" w:rsidP="0073001D">
      <w:pPr>
        <w:spacing w:line="360" w:lineRule="auto"/>
        <w:contextualSpacing/>
      </w:pPr>
    </w:p>
    <w:p w:rsidR="0093319E" w:rsidRPr="0093319E" w:rsidRDefault="00F8176A" w:rsidP="0073001D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Norway</w:t>
      </w:r>
      <w:r w:rsidR="0093319E" w:rsidRPr="0093319E">
        <w:rPr>
          <w:b/>
          <w:sz w:val="28"/>
          <w:szCs w:val="28"/>
          <w:u w:val="single"/>
        </w:rPr>
        <w:t xml:space="preserve">: </w:t>
      </w:r>
      <w:r w:rsidR="00B0737F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Template For World Energy Policy</w:t>
      </w:r>
    </w:p>
    <w:p w:rsidR="0073001D" w:rsidRDefault="0073001D" w:rsidP="0073001D">
      <w:pPr>
        <w:spacing w:line="360" w:lineRule="auto"/>
        <w:contextualSpacing/>
        <w:jc w:val="center"/>
        <w:rPr>
          <w:b/>
          <w:u w:val="single"/>
        </w:rPr>
      </w:pPr>
    </w:p>
    <w:p w:rsidR="0040242E" w:rsidRPr="00E72C0B" w:rsidRDefault="00E72C0B" w:rsidP="0073001D">
      <w:pPr>
        <w:spacing w:line="360" w:lineRule="auto"/>
        <w:contextualSpacing/>
        <w:jc w:val="center"/>
        <w:rPr>
          <w:b/>
          <w:u w:val="single"/>
        </w:rPr>
      </w:pPr>
      <w:r w:rsidRPr="00E72C0B">
        <w:rPr>
          <w:b/>
          <w:u w:val="single"/>
        </w:rPr>
        <w:t>Introduction</w:t>
      </w:r>
    </w:p>
    <w:p w:rsidR="0073001D" w:rsidRDefault="0073001D" w:rsidP="0073001D">
      <w:pPr>
        <w:spacing w:line="360" w:lineRule="auto"/>
        <w:contextualSpacing/>
      </w:pPr>
    </w:p>
    <w:p w:rsidR="00E72C0B" w:rsidRDefault="00F14304" w:rsidP="0073001D">
      <w:pPr>
        <w:spacing w:line="360" w:lineRule="auto"/>
        <w:contextualSpacing/>
      </w:pPr>
      <w:r>
        <w:tab/>
        <w:t>Since the 197</w:t>
      </w:r>
      <w:r w:rsidR="00E72C0B">
        <w:t>0’s,</w:t>
      </w:r>
      <w:r w:rsidR="000E13E3">
        <w:t xml:space="preserve"> Norway has grown from a </w:t>
      </w:r>
      <w:r w:rsidR="00AA24EA">
        <w:t>completely</w:t>
      </w:r>
      <w:r w:rsidR="00EB5141">
        <w:t xml:space="preserve"> </w:t>
      </w:r>
      <w:r w:rsidR="00F9501C">
        <w:t>dependent</w:t>
      </w:r>
      <w:r w:rsidR="00E72C0B">
        <w:t xml:space="preserve"> energy importing state to a model </w:t>
      </w:r>
      <w:r w:rsidR="00FE186A">
        <w:t>in production of</w:t>
      </w:r>
      <w:r w:rsidR="006F64D8">
        <w:t xml:space="preserve"> oil</w:t>
      </w:r>
      <w:r w:rsidR="00FE186A">
        <w:t>,</w:t>
      </w:r>
      <w:r w:rsidR="006F64D8">
        <w:t xml:space="preserve"> gas</w:t>
      </w:r>
      <w:r w:rsidR="00FE186A">
        <w:t>,</w:t>
      </w:r>
      <w:r w:rsidR="006F64D8">
        <w:t xml:space="preserve"> and renewables.  </w:t>
      </w:r>
      <w:r w:rsidR="003343AC">
        <w:t xml:space="preserve">Norway has become one of the world’s largest producers of oil and gas by exploiting </w:t>
      </w:r>
      <w:r w:rsidR="00FE186A">
        <w:t>huge</w:t>
      </w:r>
      <w:r w:rsidR="003343AC">
        <w:t xml:space="preserve"> reserves fo</w:t>
      </w:r>
      <w:r w:rsidR="00734AEB">
        <w:t xml:space="preserve">und in the North </w:t>
      </w:r>
      <w:r w:rsidR="00CE649A">
        <w:t xml:space="preserve">and Norwegian </w:t>
      </w:r>
      <w:r w:rsidR="00734AEB">
        <w:t>Sea</w:t>
      </w:r>
      <w:r w:rsidR="00CE649A">
        <w:t>s</w:t>
      </w:r>
      <w:r w:rsidR="00734AEB">
        <w:t xml:space="preserve"> through</w:t>
      </w:r>
      <w:r w:rsidR="003343AC">
        <w:t xml:space="preserve"> state-owned StatOil</w:t>
      </w:r>
      <w:r w:rsidR="008B3036">
        <w:t>Hydro</w:t>
      </w:r>
      <w:r w:rsidR="003343AC">
        <w:t xml:space="preserve">.  </w:t>
      </w:r>
      <w:r w:rsidR="00563F37">
        <w:t>At the same time, Norway has vastly expanded its production of renewable energy by relying on hydroelectric power</w:t>
      </w:r>
      <w:r w:rsidR="00734AEB">
        <w:t xml:space="preserve"> and heavily </w:t>
      </w:r>
      <w:r w:rsidR="000A57A4">
        <w:t>investing in alternative energy</w:t>
      </w:r>
      <w:r w:rsidR="00563F37">
        <w:t xml:space="preserve">.  The apparent dichotomy between their exportation of oil and gas and internal emphasis on use of renewables ensures that Norway will be a leader in </w:t>
      </w:r>
      <w:r w:rsidR="00AD2D02">
        <w:t xml:space="preserve">world </w:t>
      </w:r>
      <w:r w:rsidR="00563F37">
        <w:t xml:space="preserve">energy policy for the foreseeable future.  </w:t>
      </w:r>
      <w:r w:rsidR="005876FF">
        <w:t xml:space="preserve">Norway will also be a </w:t>
      </w:r>
      <w:r w:rsidR="00616D8C">
        <w:t xml:space="preserve">future </w:t>
      </w:r>
      <w:r w:rsidR="00A868B6">
        <w:t>leader</w:t>
      </w:r>
      <w:r w:rsidR="005876FF">
        <w:t xml:space="preserve"> in the development of renewable sources of energy and in </w:t>
      </w:r>
      <w:r w:rsidR="00A868B6">
        <w:t xml:space="preserve">their </w:t>
      </w:r>
      <w:r w:rsidR="00683C60">
        <w:t>implementation</w:t>
      </w:r>
      <w:r w:rsidR="005876FF">
        <w:t xml:space="preserve"> in the electricity and transportation markets.  </w:t>
      </w:r>
      <w:r w:rsidR="00AD2D02">
        <w:t xml:space="preserve">Other states should look to Norway as a model for their own energy policies.  </w:t>
      </w:r>
    </w:p>
    <w:p w:rsidR="00665FA8" w:rsidRDefault="00665FA8" w:rsidP="0073001D">
      <w:pPr>
        <w:spacing w:line="360" w:lineRule="auto"/>
        <w:contextualSpacing/>
      </w:pPr>
      <w:r>
        <w:tab/>
        <w:t>This paper begin</w:t>
      </w:r>
      <w:r w:rsidR="006D651F">
        <w:t>s</w:t>
      </w:r>
      <w:r>
        <w:t xml:space="preserve"> by outlining energy production </w:t>
      </w:r>
      <w:r w:rsidR="00F76AA8">
        <w:t>in</w:t>
      </w:r>
      <w:r>
        <w:t xml:space="preserve"> Norway from 1970 to 2008.  </w:t>
      </w:r>
      <w:r w:rsidR="001C5E1D">
        <w:t xml:space="preserve">It then moves on to discuss </w:t>
      </w:r>
      <w:r w:rsidR="00DB4E4D">
        <w:t>different sources of energy and</w:t>
      </w:r>
      <w:r>
        <w:t xml:space="preserve"> how these have changed over the years.  </w:t>
      </w:r>
      <w:r w:rsidR="00E51F57">
        <w:t>Next, this</w:t>
      </w:r>
      <w:r w:rsidR="00F60213">
        <w:t xml:space="preserve"> paper will discuss Norway’s</w:t>
      </w:r>
      <w:r>
        <w:t xml:space="preserve"> consumption </w:t>
      </w:r>
      <w:r w:rsidR="00F60213">
        <w:t>during</w:t>
      </w:r>
      <w:r>
        <w:t xml:space="preserve"> the same time period.  </w:t>
      </w:r>
      <w:r w:rsidR="00DD5CCB">
        <w:t xml:space="preserve">Also, </w:t>
      </w:r>
      <w:r w:rsidR="00E51F57">
        <w:t>it</w:t>
      </w:r>
      <w:r w:rsidR="002F1DA6">
        <w:t xml:space="preserve"> will compare production to consumption over the almost forty year period to give a better understanding of changing trends and how production affects consumpti</w:t>
      </w:r>
      <w:r w:rsidR="00E51F57">
        <w:t>on and vice versa.  Finally, this</w:t>
      </w:r>
      <w:r w:rsidR="00AE7365">
        <w:t xml:space="preserve"> paper will discuss Norway’s</w:t>
      </w:r>
      <w:r w:rsidR="002F1DA6">
        <w:t xml:space="preserve"> future energy </w:t>
      </w:r>
      <w:r w:rsidR="00560DE8">
        <w:t>policy</w:t>
      </w:r>
      <w:r w:rsidR="002F1DA6">
        <w:t xml:space="preserve"> and </w:t>
      </w:r>
      <w:r w:rsidR="00F1387C">
        <w:t>the</w:t>
      </w:r>
      <w:r w:rsidR="00AD2D02">
        <w:t xml:space="preserve">ir role as a world leader in </w:t>
      </w:r>
      <w:r w:rsidR="00EE5AAC">
        <w:t xml:space="preserve">energy </w:t>
      </w:r>
      <w:r w:rsidR="00AD2D02">
        <w:t>policy</w:t>
      </w:r>
      <w:r w:rsidR="002F1DA6">
        <w:t xml:space="preserve">.  </w:t>
      </w:r>
    </w:p>
    <w:p w:rsidR="00665FA8" w:rsidRDefault="00665FA8" w:rsidP="0073001D">
      <w:pPr>
        <w:spacing w:line="360" w:lineRule="auto"/>
        <w:contextualSpacing/>
      </w:pPr>
    </w:p>
    <w:p w:rsidR="007444B6" w:rsidRDefault="007444B6">
      <w:r>
        <w:br w:type="page"/>
      </w:r>
    </w:p>
    <w:p w:rsidR="0091145E" w:rsidRPr="0073001D" w:rsidRDefault="00F1387C" w:rsidP="0073001D">
      <w:pPr>
        <w:spacing w:line="36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lastRenderedPageBreak/>
        <w:t>Norway’s</w:t>
      </w:r>
      <w:r w:rsidR="0073001D" w:rsidRPr="0073001D">
        <w:rPr>
          <w:b/>
          <w:u w:val="single"/>
        </w:rPr>
        <w:t xml:space="preserve"> E</w:t>
      </w:r>
      <w:r w:rsidR="00AC3900">
        <w:rPr>
          <w:b/>
          <w:u w:val="single"/>
        </w:rPr>
        <w:t>nergy Production</w:t>
      </w:r>
    </w:p>
    <w:p w:rsidR="0073001D" w:rsidRDefault="0073001D" w:rsidP="0073001D">
      <w:pPr>
        <w:spacing w:line="360" w:lineRule="auto"/>
        <w:contextualSpacing/>
      </w:pPr>
    </w:p>
    <w:p w:rsidR="0091145E" w:rsidRDefault="001647C9" w:rsidP="0073001D">
      <w:pPr>
        <w:spacing w:line="360" w:lineRule="auto"/>
        <w:contextualSpacing/>
      </w:pPr>
      <w:r>
        <w:tab/>
      </w:r>
      <w:r w:rsidR="00C135E1">
        <w:t>Norway’s</w:t>
      </w:r>
      <w:r w:rsidR="00F70ABE">
        <w:t xml:space="preserve"> terrain and location </w:t>
      </w:r>
      <w:r w:rsidR="00EA3FBB">
        <w:t>provide a diverse e</w:t>
      </w:r>
      <w:r w:rsidR="009C7E61">
        <w:t>nergy palette</w:t>
      </w:r>
      <w:r w:rsidR="00EA3FBB">
        <w:t xml:space="preserve">.  </w:t>
      </w:r>
      <w:r w:rsidR="001536DA">
        <w:t>A central state entity, the Ministry of Petroleum and Energy, c</w:t>
      </w:r>
      <w:r w:rsidR="005C4426">
        <w:t>oordinates</w:t>
      </w:r>
      <w:r w:rsidR="001536DA">
        <w:t xml:space="preserve"> the energy production </w:t>
      </w:r>
      <w:r w:rsidR="005C4426">
        <w:t xml:space="preserve">and distribution </w:t>
      </w:r>
      <w:r w:rsidR="001536DA">
        <w:t>of the country.</w:t>
      </w:r>
      <w:r w:rsidR="00746436">
        <w:rPr>
          <w:rStyle w:val="FootnoteReference"/>
        </w:rPr>
        <w:footnoteReference w:id="1"/>
      </w:r>
      <w:r w:rsidR="001536DA">
        <w:t xml:space="preserve">  </w:t>
      </w:r>
      <w:r w:rsidR="00D95D6D">
        <w:t xml:space="preserve">Norway has large oil reserves </w:t>
      </w:r>
      <w:r w:rsidR="00A3552E">
        <w:t>in the North and Norwegian Seas and</w:t>
      </w:r>
      <w:r w:rsidR="00D95D6D">
        <w:t xml:space="preserve"> early energy production centered around oil and gas.</w:t>
      </w:r>
      <w:r w:rsidR="00746436">
        <w:rPr>
          <w:rStyle w:val="FootnoteReference"/>
        </w:rPr>
        <w:footnoteReference w:id="2"/>
      </w:r>
      <w:r w:rsidR="00D95D6D">
        <w:t xml:space="preserve">  </w:t>
      </w:r>
      <w:r w:rsidR="00093B73">
        <w:t>B</w:t>
      </w:r>
      <w:r w:rsidR="008D0790">
        <w:t>y taking advantage of hydroelectric power</w:t>
      </w:r>
      <w:r w:rsidR="00DB2EA3">
        <w:t xml:space="preserve"> to supply domestic needs</w:t>
      </w:r>
      <w:r w:rsidR="008D0790">
        <w:t>, Norway exports the majority of the oil and gas it produces.</w:t>
      </w:r>
      <w:r w:rsidR="00746436">
        <w:rPr>
          <w:rStyle w:val="FootnoteReference"/>
        </w:rPr>
        <w:footnoteReference w:id="3"/>
      </w:r>
      <w:r w:rsidR="008D0790">
        <w:t xml:space="preserve">  The following figure shows the oil and gas produced in Norway since 1970 in million </w:t>
      </w:r>
      <w:r w:rsidR="002C6247">
        <w:t>T</w:t>
      </w:r>
      <w:r w:rsidR="008D0790">
        <w:t xml:space="preserve">onnes of oil equivalent [mtoe].  </w:t>
      </w:r>
    </w:p>
    <w:p w:rsidR="008D0790" w:rsidRDefault="008D0790" w:rsidP="0073001D">
      <w:pPr>
        <w:spacing w:line="360" w:lineRule="auto"/>
        <w:contextualSpacing/>
      </w:pPr>
    </w:p>
    <w:tbl>
      <w:tblPr>
        <w:tblW w:w="5452" w:type="dxa"/>
        <w:jc w:val="center"/>
        <w:tblInd w:w="93" w:type="dxa"/>
        <w:tblLook w:val="04A0"/>
      </w:tblPr>
      <w:tblGrid>
        <w:gridCol w:w="1252"/>
        <w:gridCol w:w="840"/>
        <w:gridCol w:w="840"/>
        <w:gridCol w:w="840"/>
        <w:gridCol w:w="840"/>
        <w:gridCol w:w="840"/>
      </w:tblGrid>
      <w:tr w:rsidR="008D0790" w:rsidRPr="008D0790" w:rsidTr="008D0790">
        <w:trPr>
          <w:trHeight w:val="240"/>
          <w:jc w:val="center"/>
        </w:trPr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E422A3" w:rsidP="008D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 w:rsidR="008D0790" w:rsidRPr="008D0790">
              <w:rPr>
                <w:rFonts w:ascii="Arial" w:eastAsia="Times New Roman" w:hAnsi="Arial" w:cs="Arial"/>
                <w:sz w:val="16"/>
                <w:szCs w:val="16"/>
              </w:rPr>
              <w:t>onnes x10^6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6B35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8D0790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1970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6B35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8D0790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1980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6B35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8D0790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1990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6B35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8D0790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2000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6B35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8D0790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2008</w:t>
            </w:r>
          </w:p>
        </w:tc>
      </w:tr>
      <w:tr w:rsidR="008D0790" w:rsidRPr="008D0790" w:rsidTr="008D0790">
        <w:trPr>
          <w:trHeight w:val="225"/>
          <w:jc w:val="center"/>
        </w:trPr>
        <w:tc>
          <w:tcPr>
            <w:tcW w:w="12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AC04DA" w:rsidP="008D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 w:rsidR="008D0790" w:rsidRPr="008D0790">
              <w:rPr>
                <w:rFonts w:ascii="Arial" w:eastAsia="Times New Roman" w:hAnsi="Arial" w:cs="Arial"/>
                <w:sz w:val="16"/>
                <w:szCs w:val="16"/>
              </w:rPr>
              <w:t>il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25.0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82.1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160.2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114.2</w:t>
            </w:r>
          </w:p>
        </w:tc>
      </w:tr>
      <w:tr w:rsidR="008D0790" w:rsidRPr="008D0790" w:rsidTr="008D0790">
        <w:trPr>
          <w:trHeight w:val="225"/>
          <w:jc w:val="center"/>
        </w:trPr>
        <w:tc>
          <w:tcPr>
            <w:tcW w:w="12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AC04DA" w:rsidP="008D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G</w:t>
            </w:r>
            <w:r w:rsidR="008D0790" w:rsidRPr="008D0790">
              <w:rPr>
                <w:rFonts w:ascii="Arial" w:eastAsia="Times New Roman" w:hAnsi="Arial" w:cs="Arial"/>
                <w:sz w:val="16"/>
                <w:szCs w:val="16"/>
              </w:rPr>
              <w:t>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22.6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22.9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44.8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89.3</w:t>
            </w:r>
          </w:p>
        </w:tc>
      </w:tr>
      <w:tr w:rsidR="008D0790" w:rsidRPr="008D0790" w:rsidTr="008D0790">
        <w:trPr>
          <w:trHeight w:val="240"/>
          <w:jc w:val="center"/>
        </w:trPr>
        <w:tc>
          <w:tcPr>
            <w:tcW w:w="12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total [mtoe]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47.6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105.1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205.0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790" w:rsidRPr="008D0790" w:rsidRDefault="008D0790" w:rsidP="008D0790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0790">
              <w:rPr>
                <w:rFonts w:ascii="Arial" w:eastAsia="Times New Roman" w:hAnsi="Arial" w:cs="Arial"/>
                <w:sz w:val="16"/>
                <w:szCs w:val="16"/>
              </w:rPr>
              <w:t>203.5</w:t>
            </w:r>
          </w:p>
        </w:tc>
      </w:tr>
    </w:tbl>
    <w:p w:rsidR="008D0790" w:rsidRDefault="008D0790" w:rsidP="008D0790">
      <w:pPr>
        <w:pStyle w:val="Caption"/>
        <w:jc w:val="center"/>
      </w:pPr>
      <w:r>
        <w:t xml:space="preserve">Figure </w:t>
      </w:r>
      <w:fldSimple w:instr=" SEQ Figure \* ARABIC ">
        <w:r w:rsidR="000F0377">
          <w:rPr>
            <w:noProof/>
          </w:rPr>
          <w:t>1</w:t>
        </w:r>
      </w:fldSimple>
      <w:r>
        <w:t>: Norwegian Oil &amp; Gas Production</w:t>
      </w:r>
      <w:r w:rsidR="00CC3AC3">
        <w:rPr>
          <w:rStyle w:val="FootnoteReference"/>
        </w:rPr>
        <w:footnoteReference w:id="4"/>
      </w:r>
    </w:p>
    <w:p w:rsidR="001647C9" w:rsidRDefault="001647C9" w:rsidP="0073001D">
      <w:pPr>
        <w:spacing w:line="360" w:lineRule="auto"/>
        <w:contextualSpacing/>
      </w:pPr>
    </w:p>
    <w:p w:rsidR="001647C9" w:rsidRDefault="003B2E51" w:rsidP="0073001D">
      <w:pPr>
        <w:spacing w:line="360" w:lineRule="auto"/>
        <w:contextualSpacing/>
      </w:pPr>
      <w:r>
        <w:t>The</w:t>
      </w:r>
      <w:r w:rsidR="00A3552E">
        <w:t xml:space="preserve"> </w:t>
      </w:r>
      <w:r w:rsidR="00B42F7E">
        <w:t xml:space="preserve">drop in oil production </w:t>
      </w:r>
      <w:r w:rsidR="00772B8F">
        <w:t>coincides with</w:t>
      </w:r>
      <w:r w:rsidR="00B42F7E">
        <w:t xml:space="preserve"> the </w:t>
      </w:r>
      <w:r w:rsidR="004D1CF9">
        <w:t xml:space="preserve">depletion of </w:t>
      </w:r>
      <w:r w:rsidR="00772B8F">
        <w:t xml:space="preserve">the North Sea </w:t>
      </w:r>
      <w:r w:rsidR="00B42F7E">
        <w:t>reserves</w:t>
      </w:r>
      <w:r w:rsidR="004D1CF9">
        <w:t xml:space="preserve">, </w:t>
      </w:r>
      <w:r w:rsidR="00772B8F">
        <w:t>both of which began</w:t>
      </w:r>
      <w:r w:rsidR="004D1CF9">
        <w:t xml:space="preserve"> to decrease around 2000</w:t>
      </w:r>
      <w:r w:rsidR="00B42F7E">
        <w:t>.</w:t>
      </w:r>
      <w:r w:rsidR="000C44A8">
        <w:rPr>
          <w:rStyle w:val="FootnoteReference"/>
        </w:rPr>
        <w:footnoteReference w:id="5"/>
      </w:r>
      <w:r w:rsidR="00B42F7E">
        <w:t xml:space="preserve">  </w:t>
      </w:r>
      <w:r w:rsidR="00C36561">
        <w:t>In the past 20 years, gas production has increased dramatically</w:t>
      </w:r>
      <w:r w:rsidR="00A3552E">
        <w:t>, partially offsetting the drop in oil production</w:t>
      </w:r>
      <w:r w:rsidR="00C36561">
        <w:t>.</w:t>
      </w:r>
      <w:r w:rsidR="000C44A8">
        <w:rPr>
          <w:rStyle w:val="FootnoteReference"/>
        </w:rPr>
        <w:footnoteReference w:id="6"/>
      </w:r>
      <w:r w:rsidR="00C36561">
        <w:t xml:space="preserve">  </w:t>
      </w:r>
      <w:r w:rsidR="001165FC">
        <w:t>Most gas is exported to other European countries, and this trend is forecasted to increase in the future.</w:t>
      </w:r>
      <w:r w:rsidR="000C44A8">
        <w:rPr>
          <w:rStyle w:val="FootnoteReference"/>
        </w:rPr>
        <w:footnoteReference w:id="7"/>
      </w:r>
      <w:r w:rsidR="001165FC">
        <w:t xml:space="preserve">  </w:t>
      </w:r>
    </w:p>
    <w:p w:rsidR="009E1F73" w:rsidRDefault="00F92B26" w:rsidP="0073001D">
      <w:pPr>
        <w:spacing w:line="360" w:lineRule="auto"/>
        <w:contextualSpacing/>
      </w:pPr>
      <w:r>
        <w:tab/>
      </w:r>
      <w:r w:rsidR="00A218B9">
        <w:t>H</w:t>
      </w:r>
      <w:r w:rsidR="00A83AF1">
        <w:t>ydroelectric</w:t>
      </w:r>
      <w:r w:rsidR="00A218B9">
        <w:t xml:space="preserve"> plants </w:t>
      </w:r>
      <w:r w:rsidR="00A83AF1">
        <w:t>generate</w:t>
      </w:r>
      <w:r w:rsidR="00A218B9">
        <w:t xml:space="preserve"> t</w:t>
      </w:r>
      <w:r w:rsidR="005A1EAF">
        <w:t>he</w:t>
      </w:r>
      <w:r w:rsidR="00A74631">
        <w:t xml:space="preserve"> majority of </w:t>
      </w:r>
      <w:r w:rsidR="00D76CA0">
        <w:t xml:space="preserve">Norway’s </w:t>
      </w:r>
      <w:r w:rsidR="00A74631">
        <w:t>e</w:t>
      </w:r>
      <w:r w:rsidR="003132FF">
        <w:t>lectric</w:t>
      </w:r>
      <w:r w:rsidR="00D76CA0">
        <w:t xml:space="preserve"> capacity</w:t>
      </w:r>
      <w:r w:rsidR="00A74631">
        <w:t>.</w:t>
      </w:r>
      <w:r w:rsidR="000C44A8">
        <w:rPr>
          <w:rStyle w:val="FootnoteReference"/>
        </w:rPr>
        <w:footnoteReference w:id="8"/>
      </w:r>
      <w:r w:rsidR="008B1C5B">
        <w:t xml:space="preserve">  </w:t>
      </w:r>
      <w:r w:rsidR="00A74631">
        <w:t xml:space="preserve">While </w:t>
      </w:r>
      <w:r w:rsidR="00143F37">
        <w:t>this is a</w:t>
      </w:r>
      <w:r w:rsidR="000D5BD1">
        <w:t xml:space="preserve"> renewable source</w:t>
      </w:r>
      <w:r w:rsidR="00A74631">
        <w:t xml:space="preserve"> of energy, hydroelectric power is susceptible to high seasonal variation, which can create unstable energy production</w:t>
      </w:r>
      <w:r w:rsidR="00EC2BE8">
        <w:t>.</w:t>
      </w:r>
      <w:r w:rsidR="000C44A8">
        <w:rPr>
          <w:rStyle w:val="FootnoteReference"/>
        </w:rPr>
        <w:footnoteReference w:id="9"/>
      </w:r>
      <w:r w:rsidR="00EC2BE8">
        <w:t xml:space="preserve">  </w:t>
      </w:r>
      <w:r w:rsidR="001725A0">
        <w:t>Since the year</w:t>
      </w:r>
      <w:r w:rsidR="009E1332">
        <w:t xml:space="preserve"> 2000, bioenergy was </w:t>
      </w:r>
      <w:r w:rsidR="00DD5E88">
        <w:t xml:space="preserve">supplying </w:t>
      </w:r>
      <w:r w:rsidR="009E1332">
        <w:t>4.5</w:t>
      </w:r>
      <w:r w:rsidR="00ED3FFC">
        <w:t xml:space="preserve">% of </w:t>
      </w:r>
      <w:r w:rsidR="00ED3FFC">
        <w:lastRenderedPageBreak/>
        <w:t>the total Norwegian energy</w:t>
      </w:r>
      <w:r w:rsidR="00266BBF">
        <w:t xml:space="preserve"> supply</w:t>
      </w:r>
      <w:r w:rsidR="009E1332">
        <w:t>.</w:t>
      </w:r>
      <w:r w:rsidR="000C44A8">
        <w:rPr>
          <w:rStyle w:val="FootnoteReference"/>
        </w:rPr>
        <w:footnoteReference w:id="10"/>
      </w:r>
      <w:r w:rsidR="009E1332">
        <w:t xml:space="preserve">  </w:t>
      </w:r>
      <w:r w:rsidR="00103505">
        <w:t xml:space="preserve">Bioenergy </w:t>
      </w:r>
      <w:r w:rsidR="0041589B">
        <w:t>is</w:t>
      </w:r>
      <w:r w:rsidR="000403A3">
        <w:t xml:space="preserve"> mainly generated from waste heat recapture in the paper industry and residential f</w:t>
      </w:r>
      <w:r w:rsidR="00A74631">
        <w:t>irewood burning.</w:t>
      </w:r>
      <w:r w:rsidR="00EA04B1">
        <w:rPr>
          <w:rStyle w:val="FootnoteReference"/>
        </w:rPr>
        <w:footnoteReference w:id="11"/>
      </w:r>
      <w:r w:rsidR="00382510">
        <w:t xml:space="preserve">  </w:t>
      </w:r>
      <w:r w:rsidR="009E1F73">
        <w:t xml:space="preserve">Norway currently does not have any </w:t>
      </w:r>
      <w:r w:rsidR="00FE7138">
        <w:t>commercial</w:t>
      </w:r>
      <w:r w:rsidR="009E1F73">
        <w:t xml:space="preserve"> nuclear power plants</w:t>
      </w:r>
      <w:r w:rsidR="00223A80">
        <w:t>.</w:t>
      </w:r>
      <w:r w:rsidR="00223A80">
        <w:rPr>
          <w:rStyle w:val="FootnoteReference"/>
        </w:rPr>
        <w:footnoteReference w:id="12"/>
      </w:r>
      <w:r w:rsidR="009E1F73">
        <w:t xml:space="preserve">  Norway import</w:t>
      </w:r>
      <w:r w:rsidR="00DC2C26">
        <w:t>s</w:t>
      </w:r>
      <w:r w:rsidR="009E1F73">
        <w:t xml:space="preserve"> some electricity from Finland and </w:t>
      </w:r>
      <w:r w:rsidR="006635DD">
        <w:t>Sweden</w:t>
      </w:r>
      <w:r w:rsidR="009E1F73">
        <w:t xml:space="preserve"> </w:t>
      </w:r>
      <w:r w:rsidR="0067545B">
        <w:t>during dry years</w:t>
      </w:r>
      <w:r w:rsidR="009E1F73">
        <w:t>, and these countries do have nuclear reactors.</w:t>
      </w:r>
      <w:r w:rsidR="00223A80">
        <w:rPr>
          <w:rStyle w:val="FootnoteReference"/>
        </w:rPr>
        <w:footnoteReference w:id="13"/>
      </w:r>
      <w:r w:rsidR="009E1F73">
        <w:t xml:space="preserve">  </w:t>
      </w:r>
      <w:r w:rsidR="006B33D6">
        <w:t xml:space="preserve">With a capacity of 13 </w:t>
      </w:r>
      <w:r w:rsidR="00DB1B9C">
        <w:t>Mega-Watts [</w:t>
      </w:r>
      <w:r w:rsidR="006B33D6">
        <w:t>MW</w:t>
      </w:r>
      <w:r w:rsidR="00DB1B9C">
        <w:t>]</w:t>
      </w:r>
      <w:r w:rsidR="006B33D6">
        <w:t>, Norway has a small but growing number of wind farms along the coast which produce upwards o</w:t>
      </w:r>
      <w:r w:rsidR="00DA7069">
        <w:t xml:space="preserve">f 35 </w:t>
      </w:r>
      <w:r w:rsidR="00FA7439">
        <w:t>Giga-Watt-hours/year [</w:t>
      </w:r>
      <w:r w:rsidR="00DA7069">
        <w:t>GWh/year</w:t>
      </w:r>
      <w:r w:rsidR="00FA7439">
        <w:t>]</w:t>
      </w:r>
      <w:r w:rsidR="00DA7069">
        <w:t>.</w:t>
      </w:r>
      <w:r w:rsidR="00223A80">
        <w:rPr>
          <w:rStyle w:val="FootnoteReference"/>
        </w:rPr>
        <w:footnoteReference w:id="14"/>
      </w:r>
      <w:r w:rsidR="006B33D6">
        <w:t xml:space="preserve">  </w:t>
      </w:r>
    </w:p>
    <w:p w:rsidR="00386A2D" w:rsidRDefault="00386A2D" w:rsidP="0073001D">
      <w:pPr>
        <w:spacing w:line="360" w:lineRule="auto"/>
        <w:contextualSpacing/>
      </w:pPr>
      <w:r>
        <w:tab/>
        <w:t>Norway’s electricity grid is connected to its Nordic neighbors including Russia, allowing ele</w:t>
      </w:r>
      <w:r w:rsidR="007D4609">
        <w:t>ctricity to be exported</w:t>
      </w:r>
      <w:r>
        <w:t>.</w:t>
      </w:r>
      <w:r w:rsidR="00223A80">
        <w:rPr>
          <w:rStyle w:val="FootnoteReference"/>
        </w:rPr>
        <w:footnoteReference w:id="15"/>
      </w:r>
      <w:r>
        <w:t xml:space="preserve">  </w:t>
      </w:r>
      <w:r w:rsidR="00E66A22">
        <w:t>With the NorNed power cable through the North Sea connecting Norway to the Netherlands, Norway also export</w:t>
      </w:r>
      <w:r w:rsidR="007D4609">
        <w:t>s</w:t>
      </w:r>
      <w:r w:rsidR="00E66A22">
        <w:t xml:space="preserve"> electrici</w:t>
      </w:r>
      <w:r w:rsidR="00BE57C5">
        <w:t>ty to mainland Europe as well.</w:t>
      </w:r>
      <w:r w:rsidR="00223A80">
        <w:rPr>
          <w:rStyle w:val="FootnoteReference"/>
        </w:rPr>
        <w:footnoteReference w:id="16"/>
      </w:r>
      <w:r w:rsidR="00BE57C5">
        <w:t xml:space="preserve">  </w:t>
      </w:r>
    </w:p>
    <w:p w:rsidR="008D0790" w:rsidRDefault="008D0790" w:rsidP="0073001D">
      <w:pPr>
        <w:spacing w:line="360" w:lineRule="auto"/>
        <w:contextualSpacing/>
      </w:pPr>
    </w:p>
    <w:p w:rsidR="007444B6" w:rsidRDefault="007444B6">
      <w:r>
        <w:br w:type="page"/>
      </w:r>
    </w:p>
    <w:p w:rsidR="00AC3900" w:rsidRPr="0073001D" w:rsidRDefault="00A13CDC" w:rsidP="00AC3900">
      <w:pPr>
        <w:spacing w:line="36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lastRenderedPageBreak/>
        <w:t>Norway’s</w:t>
      </w:r>
      <w:r w:rsidR="00AC3900" w:rsidRPr="0073001D">
        <w:rPr>
          <w:b/>
          <w:u w:val="single"/>
        </w:rPr>
        <w:t xml:space="preserve"> E</w:t>
      </w:r>
      <w:r w:rsidR="00AC3900">
        <w:rPr>
          <w:b/>
          <w:u w:val="single"/>
        </w:rPr>
        <w:t>nergy Consumption</w:t>
      </w:r>
    </w:p>
    <w:p w:rsidR="00AC3900" w:rsidRDefault="00AC3900" w:rsidP="00AC3900">
      <w:pPr>
        <w:spacing w:line="360" w:lineRule="auto"/>
        <w:contextualSpacing/>
      </w:pPr>
    </w:p>
    <w:p w:rsidR="00AC3900" w:rsidRDefault="00AC3900" w:rsidP="00AC3900">
      <w:pPr>
        <w:spacing w:line="360" w:lineRule="auto"/>
        <w:contextualSpacing/>
      </w:pPr>
      <w:r>
        <w:tab/>
      </w:r>
      <w:r w:rsidR="00994995">
        <w:t>Norway’s</w:t>
      </w:r>
      <w:r w:rsidR="00664DBC">
        <w:t xml:space="preserve"> energy consumption, like other major industrialized co</w:t>
      </w:r>
      <w:r w:rsidR="002B789F">
        <w:t>untries, centers around the</w:t>
      </w:r>
      <w:r w:rsidR="00664DBC">
        <w:t xml:space="preserve"> </w:t>
      </w:r>
      <w:r w:rsidR="00994995">
        <w:t>usages of electricity</w:t>
      </w:r>
      <w:r w:rsidR="00664DBC">
        <w:t xml:space="preserve"> and transportation.  </w:t>
      </w:r>
      <w:r w:rsidR="00C4100D">
        <w:t xml:space="preserve">In 1970, the population </w:t>
      </w:r>
      <w:r w:rsidR="00E77A9C">
        <w:t>of Norway was about 3.8 million</w:t>
      </w:r>
      <w:r w:rsidR="00C4100D">
        <w:t xml:space="preserve"> and </w:t>
      </w:r>
      <w:r w:rsidR="003B357F">
        <w:t xml:space="preserve">since then </w:t>
      </w:r>
      <w:r w:rsidR="000065A7">
        <w:t xml:space="preserve">it </w:t>
      </w:r>
      <w:r w:rsidR="00C4100D">
        <w:t xml:space="preserve">has grown </w:t>
      </w:r>
      <w:r w:rsidR="00994995">
        <w:t xml:space="preserve">approximately 25% </w:t>
      </w:r>
      <w:r w:rsidR="00C4100D">
        <w:t>to about 4.8 million in 2009.</w:t>
      </w:r>
      <w:r w:rsidR="00E10A69">
        <w:rPr>
          <w:rStyle w:val="FootnoteReference"/>
        </w:rPr>
        <w:footnoteReference w:id="17"/>
      </w:r>
      <w:r w:rsidR="00C4100D">
        <w:t xml:space="preserve">  </w:t>
      </w:r>
      <w:r w:rsidR="003630E3">
        <w:t>E</w:t>
      </w:r>
      <w:r w:rsidR="00AB07F0">
        <w:t>nergy consumption has more than doubled</w:t>
      </w:r>
      <w:r w:rsidR="003630E3">
        <w:t xml:space="preserve"> in that same time period</w:t>
      </w:r>
      <w:r w:rsidR="00AB07F0">
        <w:t>.</w:t>
      </w:r>
      <w:r w:rsidR="00E10A69">
        <w:rPr>
          <w:rStyle w:val="FootnoteReference"/>
        </w:rPr>
        <w:footnoteReference w:id="18"/>
      </w:r>
      <w:r w:rsidR="00AB07F0">
        <w:t xml:space="preserve">  </w:t>
      </w:r>
      <w:r w:rsidR="009C43BF">
        <w:t xml:space="preserve">The following figure shows Norwegian energy consumption </w:t>
      </w:r>
      <w:r w:rsidR="00804043">
        <w:t>[</w:t>
      </w:r>
      <w:r w:rsidR="00232470">
        <w:t>mtoe</w:t>
      </w:r>
      <w:r w:rsidR="00804043">
        <w:t>]</w:t>
      </w:r>
      <w:r w:rsidR="00232470">
        <w:t xml:space="preserve"> </w:t>
      </w:r>
      <w:r w:rsidR="009C43BF">
        <w:t>in 1970 and 2008.</w:t>
      </w:r>
    </w:p>
    <w:p w:rsidR="009C43BF" w:rsidRDefault="009C43BF" w:rsidP="00AC3900">
      <w:pPr>
        <w:spacing w:line="360" w:lineRule="auto"/>
        <w:contextualSpacing/>
      </w:pPr>
    </w:p>
    <w:tbl>
      <w:tblPr>
        <w:tblW w:w="2932" w:type="dxa"/>
        <w:jc w:val="center"/>
        <w:tblInd w:w="93" w:type="dxa"/>
        <w:tblLook w:val="04A0"/>
      </w:tblPr>
      <w:tblGrid>
        <w:gridCol w:w="1252"/>
        <w:gridCol w:w="840"/>
        <w:gridCol w:w="840"/>
      </w:tblGrid>
      <w:tr w:rsidR="009C43BF" w:rsidRPr="009C43BF" w:rsidTr="009C43BF">
        <w:trPr>
          <w:trHeight w:val="240"/>
          <w:jc w:val="center"/>
        </w:trPr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 w:rsidRPr="009C43BF">
              <w:rPr>
                <w:rFonts w:ascii="Arial" w:eastAsia="Times New Roman" w:hAnsi="Arial" w:cs="Arial"/>
                <w:sz w:val="16"/>
                <w:szCs w:val="16"/>
              </w:rPr>
              <w:t>onnes x10^6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C43B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1970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C43B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2008</w:t>
            </w:r>
          </w:p>
        </w:tc>
      </w:tr>
      <w:tr w:rsidR="009C43BF" w:rsidRPr="009C43BF" w:rsidTr="009C43BF">
        <w:trPr>
          <w:trHeight w:val="225"/>
          <w:jc w:val="center"/>
        </w:trPr>
        <w:tc>
          <w:tcPr>
            <w:tcW w:w="12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D71514" w:rsidP="009C43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 w:rsidR="009C43BF" w:rsidRPr="009C43BF">
              <w:rPr>
                <w:rFonts w:ascii="Arial" w:eastAsia="Times New Roman" w:hAnsi="Arial" w:cs="Arial"/>
                <w:sz w:val="16"/>
                <w:szCs w:val="16"/>
              </w:rPr>
              <w:t>il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43BF">
              <w:rPr>
                <w:rFonts w:ascii="Arial" w:eastAsia="Times New Roman" w:hAnsi="Arial" w:cs="Arial"/>
                <w:sz w:val="16"/>
                <w:szCs w:val="16"/>
              </w:rPr>
              <w:t>8.3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43BF">
              <w:rPr>
                <w:rFonts w:ascii="Arial" w:eastAsia="Times New Roman" w:hAnsi="Arial" w:cs="Arial"/>
                <w:sz w:val="16"/>
                <w:szCs w:val="16"/>
              </w:rPr>
              <w:t>9.8</w:t>
            </w:r>
          </w:p>
        </w:tc>
      </w:tr>
      <w:tr w:rsidR="009C43BF" w:rsidRPr="009C43BF" w:rsidTr="009C43BF">
        <w:trPr>
          <w:trHeight w:val="225"/>
          <w:jc w:val="center"/>
        </w:trPr>
        <w:tc>
          <w:tcPr>
            <w:tcW w:w="12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D71514" w:rsidP="009C43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</w:t>
            </w:r>
            <w:r w:rsidR="009C43BF" w:rsidRPr="009C43BF">
              <w:rPr>
                <w:rFonts w:ascii="Arial" w:eastAsia="Times New Roman" w:hAnsi="Arial" w:cs="Arial"/>
                <w:sz w:val="16"/>
                <w:szCs w:val="16"/>
              </w:rPr>
              <w:t>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43BF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43BF">
              <w:rPr>
                <w:rFonts w:ascii="Arial" w:eastAsia="Times New Roman" w:hAnsi="Arial" w:cs="Arial"/>
                <w:sz w:val="16"/>
                <w:szCs w:val="16"/>
              </w:rPr>
              <w:t>4.0</w:t>
            </w:r>
          </w:p>
        </w:tc>
      </w:tr>
      <w:tr w:rsidR="009C43BF" w:rsidRPr="009C43BF" w:rsidTr="009C43BF">
        <w:trPr>
          <w:trHeight w:val="225"/>
          <w:jc w:val="center"/>
        </w:trPr>
        <w:tc>
          <w:tcPr>
            <w:tcW w:w="12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D71514" w:rsidP="009C43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="009C43BF" w:rsidRPr="009C43BF">
              <w:rPr>
                <w:rFonts w:ascii="Arial" w:eastAsia="Times New Roman" w:hAnsi="Arial" w:cs="Arial"/>
                <w:sz w:val="16"/>
                <w:szCs w:val="16"/>
              </w:rPr>
              <w:t>oal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43BF">
              <w:rPr>
                <w:rFonts w:ascii="Arial" w:eastAsia="Times New Roman" w:hAnsi="Arial" w:cs="Arial"/>
                <w:sz w:val="16"/>
                <w:szCs w:val="16"/>
              </w:rPr>
              <w:t>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43BF">
              <w:rPr>
                <w:rFonts w:ascii="Arial" w:eastAsia="Times New Roman" w:hAnsi="Arial" w:cs="Arial"/>
                <w:sz w:val="16"/>
                <w:szCs w:val="16"/>
              </w:rPr>
              <w:t>0.5</w:t>
            </w:r>
          </w:p>
        </w:tc>
      </w:tr>
      <w:tr w:rsidR="009C43BF" w:rsidRPr="009C43BF" w:rsidTr="009C43BF">
        <w:trPr>
          <w:trHeight w:val="225"/>
          <w:jc w:val="center"/>
        </w:trPr>
        <w:tc>
          <w:tcPr>
            <w:tcW w:w="12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D71514" w:rsidP="009C43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="009C43BF" w:rsidRPr="009C43BF">
              <w:rPr>
                <w:rFonts w:ascii="Arial" w:eastAsia="Times New Roman" w:hAnsi="Arial" w:cs="Arial"/>
                <w:sz w:val="16"/>
                <w:szCs w:val="16"/>
              </w:rPr>
              <w:t>uclear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43BF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43BF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9C43BF" w:rsidRPr="009C43BF" w:rsidTr="009C43BF">
        <w:trPr>
          <w:trHeight w:val="225"/>
          <w:jc w:val="center"/>
        </w:trPr>
        <w:tc>
          <w:tcPr>
            <w:tcW w:w="12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D71514" w:rsidP="009C43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</w:t>
            </w:r>
            <w:r w:rsidR="009C43BF" w:rsidRPr="009C43BF">
              <w:rPr>
                <w:rFonts w:ascii="Arial" w:eastAsia="Times New Roman" w:hAnsi="Arial" w:cs="Arial"/>
                <w:sz w:val="16"/>
                <w:szCs w:val="16"/>
              </w:rPr>
              <w:t>ydro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43BF">
              <w:rPr>
                <w:rFonts w:ascii="Arial" w:eastAsia="Times New Roman" w:hAnsi="Arial" w:cs="Arial"/>
                <w:sz w:val="16"/>
                <w:szCs w:val="16"/>
              </w:rPr>
              <w:t>13.1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43BF">
              <w:rPr>
                <w:rFonts w:ascii="Arial" w:eastAsia="Times New Roman" w:hAnsi="Arial" w:cs="Arial"/>
                <w:sz w:val="16"/>
                <w:szCs w:val="16"/>
              </w:rPr>
              <w:t>31.8</w:t>
            </w:r>
          </w:p>
        </w:tc>
      </w:tr>
      <w:tr w:rsidR="009C43BF" w:rsidRPr="009C43BF" w:rsidTr="009C43BF">
        <w:trPr>
          <w:trHeight w:val="225"/>
          <w:jc w:val="center"/>
        </w:trPr>
        <w:tc>
          <w:tcPr>
            <w:tcW w:w="12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D71514" w:rsidP="009C43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 w:rsidR="009C43BF" w:rsidRPr="009C43BF">
              <w:rPr>
                <w:rFonts w:ascii="Arial" w:eastAsia="Times New Roman" w:hAnsi="Arial" w:cs="Arial"/>
                <w:sz w:val="16"/>
                <w:szCs w:val="16"/>
              </w:rPr>
              <w:t>otal [mtoe]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9C43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43BF">
              <w:rPr>
                <w:rFonts w:ascii="Arial" w:eastAsia="Times New Roman" w:hAnsi="Arial" w:cs="Arial"/>
                <w:sz w:val="16"/>
                <w:szCs w:val="16"/>
              </w:rPr>
              <w:t>22.4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C43BF" w:rsidRPr="009C43BF" w:rsidRDefault="009C43BF" w:rsidP="003F198D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43BF">
              <w:rPr>
                <w:rFonts w:ascii="Arial" w:eastAsia="Times New Roman" w:hAnsi="Arial" w:cs="Arial"/>
                <w:sz w:val="16"/>
                <w:szCs w:val="16"/>
              </w:rPr>
              <w:t>46.0</w:t>
            </w:r>
          </w:p>
        </w:tc>
      </w:tr>
    </w:tbl>
    <w:p w:rsidR="009C43BF" w:rsidRDefault="003F198D" w:rsidP="003F198D">
      <w:pPr>
        <w:pStyle w:val="Caption"/>
        <w:jc w:val="center"/>
      </w:pPr>
      <w:r>
        <w:t xml:space="preserve">Figure </w:t>
      </w:r>
      <w:fldSimple w:instr=" SEQ Figure \* ARABIC ">
        <w:r w:rsidR="000F0377">
          <w:rPr>
            <w:noProof/>
          </w:rPr>
          <w:t>2</w:t>
        </w:r>
      </w:fldSimple>
      <w:r>
        <w:t>: Norwegian Energy Consumption</w:t>
      </w:r>
      <w:r w:rsidR="00CC3AC3">
        <w:rPr>
          <w:rStyle w:val="FootnoteReference"/>
        </w:rPr>
        <w:footnoteReference w:id="19"/>
      </w:r>
    </w:p>
    <w:p w:rsidR="003F5D9A" w:rsidRDefault="003D6E9F" w:rsidP="003F198D">
      <w:pPr>
        <w:spacing w:line="360" w:lineRule="auto"/>
        <w:contextualSpacing/>
      </w:pPr>
      <w:r>
        <w:t xml:space="preserve">A few interesting points can be taken from this </w:t>
      </w:r>
      <w:r w:rsidR="003F198D">
        <w:t>figure</w:t>
      </w:r>
      <w:r>
        <w:t xml:space="preserve">.  </w:t>
      </w:r>
      <w:r w:rsidR="003F5D9A">
        <w:t>First, total energy con</w:t>
      </w:r>
      <w:r w:rsidR="00994995">
        <w:t>sumption in Norway has risen fro</w:t>
      </w:r>
      <w:r w:rsidR="003F5D9A">
        <w:t>m 22.4 mtoe to 46.0 mtoe in 40 years.  Second</w:t>
      </w:r>
      <w:r>
        <w:t>, oil consumption has increased approximately 20% over the past 40 years in Norway</w:t>
      </w:r>
      <w:r w:rsidR="00A664E6">
        <w:t>, while gas use has risen to 4.0 mtoe.  Coal use has dropped 50%</w:t>
      </w:r>
      <w:r w:rsidR="00EF4188">
        <w:t xml:space="preserve">.  </w:t>
      </w:r>
      <w:r w:rsidR="007D056E">
        <w:t xml:space="preserve">As mentioned earlier, there are no nuclear power plants in Norway. </w:t>
      </w:r>
      <w:r w:rsidR="003F5D9A">
        <w:t xml:space="preserve"> </w:t>
      </w:r>
      <w:r w:rsidR="003F198D">
        <w:t>Finally, the figure</w:t>
      </w:r>
      <w:r w:rsidR="00D23C39">
        <w:t xml:space="preserve"> shows that hydroelectric consumption</w:t>
      </w:r>
      <w:r w:rsidR="003F5D9A">
        <w:t xml:space="preserve"> has risen 242% since 1970.  This </w:t>
      </w:r>
      <w:r w:rsidR="00995F1D">
        <w:t>increase makes up almost 80% of the total increase in Norwegian energy consumption, thus establishing hydroelectric</w:t>
      </w:r>
      <w:r w:rsidR="00857464">
        <w:t>ity</w:t>
      </w:r>
      <w:r w:rsidR="00995F1D">
        <w:t xml:space="preserve"> as the crux of the </w:t>
      </w:r>
      <w:r w:rsidR="00074993">
        <w:t xml:space="preserve">current </w:t>
      </w:r>
      <w:r w:rsidR="00995F1D">
        <w:t>Norwegian energy solution.</w:t>
      </w:r>
    </w:p>
    <w:p w:rsidR="00074993" w:rsidRDefault="00074993" w:rsidP="003F5D9A">
      <w:pPr>
        <w:spacing w:line="360" w:lineRule="auto"/>
        <w:contextualSpacing/>
      </w:pPr>
      <w:r>
        <w:tab/>
      </w:r>
      <w:r w:rsidR="00C3500D">
        <w:t>It is also useful to compare the relative consumptions of each type of energy in Norway</w:t>
      </w:r>
      <w:r w:rsidR="00070B7D">
        <w:t xml:space="preserve"> to see the diversity in </w:t>
      </w:r>
      <w:r w:rsidR="00761428">
        <w:t xml:space="preserve">domestic consumption </w:t>
      </w:r>
      <w:r w:rsidR="00070B7D">
        <w:t xml:space="preserve">and to help understand how dependant </w:t>
      </w:r>
      <w:r w:rsidR="001E579A">
        <w:t xml:space="preserve">on certain types of energy </w:t>
      </w:r>
      <w:r w:rsidR="00070B7D">
        <w:t>Norway may be</w:t>
      </w:r>
      <w:r w:rsidR="00C3500D">
        <w:t xml:space="preserve">.  </w:t>
      </w:r>
      <w:r w:rsidR="003F198D">
        <w:t>The following figure illustrate</w:t>
      </w:r>
      <w:r w:rsidR="00B13FD7">
        <w:t>s</w:t>
      </w:r>
      <w:r w:rsidR="003F198D">
        <w:t xml:space="preserve"> the change in Norwegian energy consumption from 1970 to 2008.  </w:t>
      </w:r>
    </w:p>
    <w:p w:rsidR="007F4C19" w:rsidRDefault="003F198D" w:rsidP="007F4C19">
      <w:pPr>
        <w:keepNext/>
        <w:spacing w:line="360" w:lineRule="auto"/>
        <w:contextualSpacing/>
        <w:jc w:val="center"/>
      </w:pPr>
      <w:r w:rsidRPr="003F198D">
        <w:rPr>
          <w:noProof/>
        </w:rPr>
        <w:lastRenderedPageBreak/>
        <w:drawing>
          <wp:inline distT="0" distB="0" distL="0" distR="0">
            <wp:extent cx="2700655" cy="2074460"/>
            <wp:effectExtent l="19050" t="0" r="23495" b="19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3F198D">
        <w:rPr>
          <w:noProof/>
        </w:rPr>
        <w:drawing>
          <wp:inline distT="0" distB="0" distL="0" distR="0">
            <wp:extent cx="2833332" cy="2067636"/>
            <wp:effectExtent l="19050" t="0" r="24168" b="8814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198D" w:rsidRDefault="007F4C19" w:rsidP="007F4C19">
      <w:pPr>
        <w:pStyle w:val="Caption"/>
        <w:jc w:val="center"/>
      </w:pPr>
      <w:r>
        <w:t xml:space="preserve">Figure </w:t>
      </w:r>
      <w:fldSimple w:instr=" SEQ Figure \* ARABIC ">
        <w:r w:rsidR="000F0377">
          <w:rPr>
            <w:noProof/>
          </w:rPr>
          <w:t>3</w:t>
        </w:r>
      </w:fldSimple>
      <w:r>
        <w:t>: Relative Norwegian Energy Consumption</w:t>
      </w:r>
      <w:r w:rsidR="00CC3AC3">
        <w:rPr>
          <w:rStyle w:val="FootnoteReference"/>
        </w:rPr>
        <w:footnoteReference w:id="20"/>
      </w:r>
    </w:p>
    <w:p w:rsidR="00813AAF" w:rsidRDefault="00813AAF" w:rsidP="00AC3900">
      <w:pPr>
        <w:spacing w:line="360" w:lineRule="auto"/>
        <w:contextualSpacing/>
      </w:pPr>
    </w:p>
    <w:p w:rsidR="006F446F" w:rsidRDefault="00CD1CBE" w:rsidP="00AC3900">
      <w:pPr>
        <w:spacing w:line="360" w:lineRule="auto"/>
        <w:contextualSpacing/>
      </w:pPr>
      <w:r>
        <w:t>T</w:t>
      </w:r>
      <w:r w:rsidR="00CB4A7C">
        <w:t xml:space="preserve">he above figure </w:t>
      </w:r>
      <w:r>
        <w:t xml:space="preserve">shows </w:t>
      </w:r>
      <w:r w:rsidR="00CB4A7C">
        <w:t xml:space="preserve">that </w:t>
      </w:r>
      <w:r w:rsidR="00FB2D6C">
        <w:t>while gas and hydroelectric energy h</w:t>
      </w:r>
      <w:r w:rsidR="00B047D9">
        <w:t>ave been increasing, Norway has</w:t>
      </w:r>
      <w:r w:rsidR="004E1E89">
        <w:t xml:space="preserve"> </w:t>
      </w:r>
      <w:r w:rsidR="00646710">
        <w:t xml:space="preserve">relatively </w:t>
      </w:r>
      <w:r w:rsidR="00FB2D6C">
        <w:t xml:space="preserve">decreased oil and coal consumption dramatically.  </w:t>
      </w:r>
      <w:r w:rsidR="00BD193A">
        <w:t xml:space="preserve">The above figure also shows the </w:t>
      </w:r>
      <w:r w:rsidR="001F4CCC">
        <w:t xml:space="preserve">relative </w:t>
      </w:r>
      <w:r w:rsidR="00BD193A">
        <w:t xml:space="preserve">decrease in coal </w:t>
      </w:r>
      <w:r>
        <w:t>use</w:t>
      </w:r>
      <w:r w:rsidR="00BD193A">
        <w:t xml:space="preserve">.  </w:t>
      </w:r>
      <w:r w:rsidR="00E66136">
        <w:t>The shift from oil to gas and the increasing reliance on hydroelectric power is shown in the following figure.</w:t>
      </w:r>
    </w:p>
    <w:p w:rsidR="00E66136" w:rsidRDefault="00E66136" w:rsidP="00AC3900">
      <w:pPr>
        <w:spacing w:line="360" w:lineRule="auto"/>
        <w:contextualSpacing/>
      </w:pPr>
    </w:p>
    <w:p w:rsidR="00E66136" w:rsidRDefault="00E66136" w:rsidP="00E66136">
      <w:pPr>
        <w:keepNext/>
        <w:spacing w:line="360" w:lineRule="auto"/>
        <w:contextualSpacing/>
        <w:jc w:val="center"/>
      </w:pPr>
      <w:r w:rsidRPr="00E66136">
        <w:rPr>
          <w:noProof/>
        </w:rPr>
        <w:drawing>
          <wp:inline distT="0" distB="0" distL="0" distR="0">
            <wp:extent cx="3729156" cy="2470245"/>
            <wp:effectExtent l="19050" t="0" r="23694" b="6255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6136" w:rsidRDefault="00E66136" w:rsidP="00E66136">
      <w:pPr>
        <w:pStyle w:val="Caption"/>
        <w:jc w:val="center"/>
      </w:pPr>
      <w:r>
        <w:t xml:space="preserve">Figure </w:t>
      </w:r>
      <w:fldSimple w:instr=" SEQ Figure \* ARABIC ">
        <w:r w:rsidR="000F0377">
          <w:rPr>
            <w:noProof/>
          </w:rPr>
          <w:t>4</w:t>
        </w:r>
      </w:fldSimple>
      <w:r>
        <w:t>: Norwegian Energy Comparison</w:t>
      </w:r>
      <w:r w:rsidR="000D31A5">
        <w:rPr>
          <w:rStyle w:val="FootnoteReference"/>
        </w:rPr>
        <w:footnoteReference w:id="21"/>
      </w:r>
    </w:p>
    <w:p w:rsidR="00670DCC" w:rsidRDefault="00804F0E" w:rsidP="00AC3900">
      <w:pPr>
        <w:spacing w:line="360" w:lineRule="auto"/>
        <w:contextualSpacing/>
      </w:pPr>
      <w:r>
        <w:t xml:space="preserve">Hydroelectricity </w:t>
      </w:r>
      <w:r w:rsidR="001907F1">
        <w:t>accounted for 99</w:t>
      </w:r>
      <w:r>
        <w:t>% of electricity generation in Norway</w:t>
      </w:r>
      <w:r w:rsidR="001907F1">
        <w:t xml:space="preserve"> in 2000</w:t>
      </w:r>
      <w:r>
        <w:t>.</w:t>
      </w:r>
      <w:r w:rsidR="0094369F">
        <w:rPr>
          <w:rStyle w:val="FootnoteReference"/>
        </w:rPr>
        <w:footnoteReference w:id="22"/>
      </w:r>
      <w:r>
        <w:t xml:space="preserve">  </w:t>
      </w:r>
      <w:r w:rsidR="004842B3">
        <w:t>The energy market was deregulated in 1991</w:t>
      </w:r>
      <w:r w:rsidR="001C65BA">
        <w:t>,</w:t>
      </w:r>
      <w:r w:rsidR="004842B3">
        <w:t xml:space="preserve"> and coupled with transmission and distribution tariffs, this </w:t>
      </w:r>
      <w:r w:rsidR="004842B3">
        <w:lastRenderedPageBreak/>
        <w:t xml:space="preserve">allowed hydro and renewable energy to compete on equal footing </w:t>
      </w:r>
      <w:r w:rsidR="001C65BA">
        <w:t>with</w:t>
      </w:r>
      <w:r w:rsidR="004842B3">
        <w:t xml:space="preserve"> more conventional energy sources.</w:t>
      </w:r>
      <w:r w:rsidR="002A42FA">
        <w:rPr>
          <w:rStyle w:val="FootnoteReference"/>
        </w:rPr>
        <w:footnoteReference w:id="23"/>
      </w:r>
      <w:r w:rsidR="004842B3">
        <w:t xml:space="preserve">  </w:t>
      </w:r>
    </w:p>
    <w:p w:rsidR="00015B17" w:rsidRDefault="00670DCC" w:rsidP="00015B17">
      <w:pPr>
        <w:spacing w:line="360" w:lineRule="auto"/>
        <w:ind w:firstLine="720"/>
        <w:contextualSpacing/>
      </w:pPr>
      <w:r>
        <w:t>Norway co</w:t>
      </w:r>
      <w:r w:rsidR="004712B0">
        <w:t>ntinues to consume fossil fuels</w:t>
      </w:r>
      <w:r>
        <w:t xml:space="preserve"> </w:t>
      </w:r>
      <w:r w:rsidR="00D14AE9">
        <w:t xml:space="preserve">mainly </w:t>
      </w:r>
      <w:r>
        <w:t xml:space="preserve">in the transportation sector.  </w:t>
      </w:r>
      <w:r w:rsidR="001F7B8D">
        <w:t>T</w:t>
      </w:r>
      <w:r w:rsidR="002C01BA">
        <w:t>he increase in population</w:t>
      </w:r>
      <w:r w:rsidR="001D2A04">
        <w:t>,</w:t>
      </w:r>
      <w:r w:rsidR="006247F3">
        <w:t xml:space="preserve"> and thus cars,</w:t>
      </w:r>
      <w:r w:rsidR="002C01BA">
        <w:t xml:space="preserve"> </w:t>
      </w:r>
      <w:r w:rsidR="001F7B8D">
        <w:t xml:space="preserve">from 1970 to </w:t>
      </w:r>
      <w:r w:rsidR="00C04F94">
        <w:t>2008</w:t>
      </w:r>
      <w:r w:rsidR="001F7B8D">
        <w:t xml:space="preserve"> tightly </w:t>
      </w:r>
      <w:r w:rsidR="002C01BA">
        <w:t>correlates to the increase in oil us</w:t>
      </w:r>
      <w:r w:rsidR="001F7B8D">
        <w:t>e</w:t>
      </w:r>
      <w:r w:rsidR="00485F48">
        <w:t xml:space="preserve">.  </w:t>
      </w:r>
      <w:r w:rsidR="00036577">
        <w:t xml:space="preserve">In contrast, the increase in natural gas can be </w:t>
      </w:r>
      <w:r w:rsidR="00CC33E7">
        <w:t xml:space="preserve">attributed to an increase in </w:t>
      </w:r>
      <w:r w:rsidR="00304CFC">
        <w:t>residential</w:t>
      </w:r>
      <w:r w:rsidR="00CC33E7">
        <w:t xml:space="preserve"> heating</w:t>
      </w:r>
      <w:r w:rsidR="00103ADA">
        <w:t>.</w:t>
      </w:r>
      <w:r w:rsidR="00015B17">
        <w:t xml:space="preserve">  Norwegian consumption of oil and gas was eclipsed by production around 1975.</w:t>
      </w:r>
      <w:r w:rsidR="002A42FA">
        <w:rPr>
          <w:rStyle w:val="FootnoteReference"/>
        </w:rPr>
        <w:footnoteReference w:id="24"/>
      </w:r>
      <w:r w:rsidR="00015B17">
        <w:t xml:space="preserve">  </w:t>
      </w:r>
      <w:r w:rsidR="00935CB1">
        <w:t>Theoretically</w:t>
      </w:r>
      <w:r w:rsidR="00EF5897">
        <w:t>,</w:t>
      </w:r>
      <w:r w:rsidR="00935CB1">
        <w:t xml:space="preserve"> t</w:t>
      </w:r>
      <w:r w:rsidR="00007E16">
        <w:t xml:space="preserve">his means </w:t>
      </w:r>
      <w:r w:rsidR="005B4E64">
        <w:t>Norway became an oil and gas exporter around that time.  The f</w:t>
      </w:r>
      <w:r w:rsidR="00C6119F">
        <w:t xml:space="preserve">ollowing figure shows </w:t>
      </w:r>
      <w:r w:rsidR="003D718E">
        <w:t>Norway’s</w:t>
      </w:r>
      <w:r w:rsidR="005474F4">
        <w:t xml:space="preserve"> </w:t>
      </w:r>
      <w:r w:rsidR="005B4E64">
        <w:t>oil and gas ratio of production divided by consumpti</w:t>
      </w:r>
      <w:r w:rsidR="002A42FA">
        <w:t>on</w:t>
      </w:r>
      <w:r w:rsidR="00C6119F">
        <w:t xml:space="preserve"> </w:t>
      </w:r>
      <w:r w:rsidR="005474F4">
        <w:t>with</w:t>
      </w:r>
      <w:r w:rsidR="00C6119F">
        <w:t xml:space="preserve"> the U.S</w:t>
      </w:r>
      <w:r w:rsidR="002A42FA">
        <w:t>.</w:t>
      </w:r>
      <w:r w:rsidR="005474F4">
        <w:t xml:space="preserve"> shown as a comparison.</w:t>
      </w:r>
    </w:p>
    <w:p w:rsidR="00813AAF" w:rsidRDefault="00813AAF" w:rsidP="00AC3900">
      <w:pPr>
        <w:spacing w:line="360" w:lineRule="auto"/>
        <w:contextualSpacing/>
      </w:pPr>
    </w:p>
    <w:p w:rsidR="005B4E64" w:rsidRDefault="00BA7C4D" w:rsidP="005B4E64">
      <w:pPr>
        <w:keepNext/>
        <w:spacing w:line="360" w:lineRule="auto"/>
        <w:contextualSpacing/>
        <w:jc w:val="center"/>
      </w:pPr>
      <w:r w:rsidRPr="00BA7C4D">
        <w:rPr>
          <w:noProof/>
        </w:rPr>
        <w:drawing>
          <wp:inline distT="0" distB="0" distL="0" distR="0">
            <wp:extent cx="5829015" cy="3145174"/>
            <wp:effectExtent l="19050" t="0" r="19335" b="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13AAF" w:rsidRDefault="005B4E64" w:rsidP="005B4E64">
      <w:pPr>
        <w:pStyle w:val="Caption"/>
        <w:jc w:val="center"/>
      </w:pPr>
      <w:r>
        <w:t xml:space="preserve">Figure </w:t>
      </w:r>
      <w:fldSimple w:instr=" SEQ Figure \* ARABIC ">
        <w:r w:rsidR="000F0377">
          <w:rPr>
            <w:noProof/>
          </w:rPr>
          <w:t>5</w:t>
        </w:r>
      </w:fldSimple>
      <w:r>
        <w:t xml:space="preserve">: </w:t>
      </w:r>
      <w:r w:rsidR="00B00F32">
        <w:t xml:space="preserve">Ratio of </w:t>
      </w:r>
      <w:r>
        <w:t>Norwegian Oil &amp; Gas Production</w:t>
      </w:r>
      <w:r w:rsidR="00B00F32">
        <w:t xml:space="preserve"> to </w:t>
      </w:r>
      <w:r>
        <w:t>Consumption</w:t>
      </w:r>
      <w:r w:rsidR="000D31A5">
        <w:rPr>
          <w:rStyle w:val="FootnoteReference"/>
        </w:rPr>
        <w:footnoteReference w:id="25"/>
      </w:r>
    </w:p>
    <w:p w:rsidR="00813AAF" w:rsidRDefault="00813AAF" w:rsidP="00AC3900">
      <w:pPr>
        <w:spacing w:line="360" w:lineRule="auto"/>
        <w:contextualSpacing/>
      </w:pPr>
    </w:p>
    <w:p w:rsidR="00813AAF" w:rsidRDefault="00F05A36" w:rsidP="00AC3900">
      <w:pPr>
        <w:spacing w:line="360" w:lineRule="auto"/>
        <w:contextualSpacing/>
      </w:pPr>
      <w:r>
        <w:t xml:space="preserve">Not only has Norway continued to produce and export oil and gas, </w:t>
      </w:r>
      <w:r w:rsidR="00DB14F0">
        <w:t>this trend</w:t>
      </w:r>
      <w:r w:rsidR="00546A88">
        <w:t xml:space="preserve"> increased </w:t>
      </w:r>
      <w:r w:rsidR="009E5760">
        <w:t>from 1970</w:t>
      </w:r>
      <w:r w:rsidR="00546A88">
        <w:t xml:space="preserve"> until around the turn of the century.</w:t>
      </w:r>
      <w:r w:rsidR="002A42FA">
        <w:rPr>
          <w:rStyle w:val="FootnoteReference"/>
        </w:rPr>
        <w:footnoteReference w:id="26"/>
      </w:r>
      <w:r w:rsidR="00546A88">
        <w:t xml:space="preserve">  </w:t>
      </w:r>
      <w:r w:rsidR="008F057D">
        <w:t xml:space="preserve">With relatively small population growth and thus </w:t>
      </w:r>
      <w:r w:rsidR="008F057D">
        <w:lastRenderedPageBreak/>
        <w:t xml:space="preserve">probably small consumption </w:t>
      </w:r>
      <w:r w:rsidR="00FB3117">
        <w:t>increase</w:t>
      </w:r>
      <w:r w:rsidR="00B967D8">
        <w:t>s</w:t>
      </w:r>
      <w:r w:rsidR="00FB3117">
        <w:t xml:space="preserve"> </w:t>
      </w:r>
      <w:r w:rsidR="008F057D">
        <w:t>since 2000, the above figure’s almost constant slope since that time could be attributed to a decline</w:t>
      </w:r>
      <w:r w:rsidR="00B02F39">
        <w:t xml:space="preserve"> in production of oil and gas.  </w:t>
      </w:r>
    </w:p>
    <w:p w:rsidR="00B00F32" w:rsidRDefault="00B00F32" w:rsidP="00AC3900">
      <w:pPr>
        <w:spacing w:line="360" w:lineRule="auto"/>
        <w:contextualSpacing/>
      </w:pPr>
      <w:r>
        <w:tab/>
        <w:t>Another set of number</w:t>
      </w:r>
      <w:r w:rsidR="00EA587F">
        <w:t>s that is helpful to compare is</w:t>
      </w:r>
      <w:r>
        <w:t xml:space="preserve"> the tota</w:t>
      </w:r>
      <w:r w:rsidR="00D24EA2">
        <w:t>l energy consumption in mtoe against</w:t>
      </w:r>
      <w:r>
        <w:t xml:space="preserve"> the total output of CO</w:t>
      </w:r>
      <w:r w:rsidRPr="00B00F32">
        <w:rPr>
          <w:vertAlign w:val="subscript"/>
        </w:rPr>
        <w:t>2</w:t>
      </w:r>
      <w:r>
        <w:t xml:space="preserve"> in millions of </w:t>
      </w:r>
      <w:r w:rsidR="00C450A6">
        <w:t>T</w:t>
      </w:r>
      <w:r>
        <w:t>onnes [</w:t>
      </w:r>
      <w:r w:rsidR="00CE66DB">
        <w:t>M</w:t>
      </w:r>
      <w:r>
        <w:t xml:space="preserve">tonnes] as shown in the following figure.  </w:t>
      </w:r>
    </w:p>
    <w:p w:rsidR="00B00F32" w:rsidRDefault="00B00F32" w:rsidP="00AC3900">
      <w:pPr>
        <w:spacing w:line="360" w:lineRule="auto"/>
        <w:contextualSpacing/>
      </w:pPr>
    </w:p>
    <w:p w:rsidR="00B00F32" w:rsidRDefault="00E46805" w:rsidP="00B00F32">
      <w:pPr>
        <w:keepNext/>
        <w:spacing w:line="360" w:lineRule="auto"/>
        <w:contextualSpacing/>
        <w:jc w:val="center"/>
      </w:pPr>
      <w:r w:rsidRPr="00E46805">
        <w:rPr>
          <w:noProof/>
        </w:rPr>
        <w:drawing>
          <wp:inline distT="0" distB="0" distL="0" distR="0">
            <wp:extent cx="5931374" cy="3145174"/>
            <wp:effectExtent l="19050" t="0" r="12226" b="0"/>
            <wp:docPr id="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00F32" w:rsidRDefault="00B00F32" w:rsidP="00B00F32">
      <w:pPr>
        <w:pStyle w:val="Caption"/>
        <w:jc w:val="center"/>
      </w:pPr>
      <w:r>
        <w:t xml:space="preserve">Figure </w:t>
      </w:r>
      <w:fldSimple w:instr=" SEQ Figure \* ARABIC ">
        <w:r w:rsidR="000F0377">
          <w:rPr>
            <w:noProof/>
          </w:rPr>
          <w:t>6</w:t>
        </w:r>
      </w:fldSimple>
      <w:r>
        <w:t xml:space="preserve">: </w:t>
      </w:r>
      <w:r w:rsidR="008A3666">
        <w:t xml:space="preserve">Energy </w:t>
      </w:r>
      <w:r w:rsidR="00FA7FE5">
        <w:t>Greenness</w:t>
      </w:r>
      <w:r w:rsidR="008A3666">
        <w:t xml:space="preserve"> of Norway and the United States</w:t>
      </w:r>
      <w:r w:rsidR="000D31A5">
        <w:rPr>
          <w:rStyle w:val="FootnoteReference"/>
        </w:rPr>
        <w:footnoteReference w:id="27"/>
      </w:r>
    </w:p>
    <w:p w:rsidR="00B00F32" w:rsidRDefault="00B00F32" w:rsidP="00AC3900">
      <w:pPr>
        <w:spacing w:line="360" w:lineRule="auto"/>
        <w:contextualSpacing/>
      </w:pPr>
    </w:p>
    <w:p w:rsidR="00813AAF" w:rsidRDefault="005E3BF5" w:rsidP="00AC3900">
      <w:pPr>
        <w:spacing w:line="360" w:lineRule="auto"/>
        <w:contextualSpacing/>
      </w:pPr>
      <w:r w:rsidRPr="00EC05F3">
        <w:t>T</w:t>
      </w:r>
      <w:r w:rsidR="00CE66DB" w:rsidRPr="00EC05F3">
        <w:t>his</w:t>
      </w:r>
      <w:r w:rsidR="00F071FE">
        <w:t xml:space="preserve"> figure illustrates the</w:t>
      </w:r>
      <w:r w:rsidR="00CE66DB" w:rsidRPr="00EC05F3">
        <w:t xml:space="preserve"> </w:t>
      </w:r>
      <w:r w:rsidR="00E46805" w:rsidRPr="00EC05F3">
        <w:t xml:space="preserve">consumption of energy to the output of </w:t>
      </w:r>
      <w:r w:rsidR="00D3219F">
        <w:t>CO</w:t>
      </w:r>
      <w:r w:rsidR="00D3219F" w:rsidRPr="00B00F32">
        <w:rPr>
          <w:vertAlign w:val="subscript"/>
        </w:rPr>
        <w:t>2</w:t>
      </w:r>
      <w:r w:rsidR="00EA531C" w:rsidRPr="00EC05F3">
        <w:t xml:space="preserve"> for both countries</w:t>
      </w:r>
      <w:r w:rsidR="007B35CC">
        <w:t xml:space="preserve"> which</w:t>
      </w:r>
      <w:r w:rsidR="007E710F">
        <w:t xml:space="preserve"> </w:t>
      </w:r>
      <w:r w:rsidR="009F3856">
        <w:t>measure</w:t>
      </w:r>
      <w:r w:rsidR="00DB45A8">
        <w:t>s</w:t>
      </w:r>
      <w:r w:rsidR="009F3856">
        <w:t xml:space="preserve"> </w:t>
      </w:r>
      <w:r w:rsidR="00B86D06">
        <w:t>how ‘green’ the energy consumed</w:t>
      </w:r>
      <w:r w:rsidR="00DB45A8">
        <w:t xml:space="preserve"> is</w:t>
      </w:r>
      <w:r w:rsidR="00E46805">
        <w:t xml:space="preserve">.  </w:t>
      </w:r>
      <w:r w:rsidR="003B4D31">
        <w:t xml:space="preserve">The higher the ratio, the more energy </w:t>
      </w:r>
      <w:r w:rsidR="0096434B">
        <w:t xml:space="preserve">is </w:t>
      </w:r>
      <w:r w:rsidR="003B4D31">
        <w:t xml:space="preserve">consumed </w:t>
      </w:r>
      <w:r w:rsidR="00CC46A3">
        <w:t>per</w:t>
      </w:r>
      <w:r w:rsidR="003B4D31">
        <w:t xml:space="preserve"> </w:t>
      </w:r>
      <w:r w:rsidR="0096434B">
        <w:t>CO</w:t>
      </w:r>
      <w:r w:rsidR="0096434B" w:rsidRPr="00B00F32">
        <w:rPr>
          <w:vertAlign w:val="subscript"/>
        </w:rPr>
        <w:t>2</w:t>
      </w:r>
      <w:r w:rsidR="003B4D31">
        <w:t xml:space="preserve">.  </w:t>
      </w:r>
      <w:r w:rsidR="00922464">
        <w:t xml:space="preserve">The greenness of a country’s energy is a good indicator of how renewable their energy supply is, and how dependant the country may be on fossil fuels.  </w:t>
      </w:r>
      <w:r w:rsidR="001F5A61">
        <w:t>The United States ratio is</w:t>
      </w:r>
      <w:r w:rsidR="00797067">
        <w:t xml:space="preserve"> shown in comparison.  </w:t>
      </w:r>
      <w:r w:rsidR="007E710F">
        <w:t xml:space="preserve">Norway is consistently 2.5 times </w:t>
      </w:r>
      <w:r w:rsidR="006B2A8E">
        <w:t>green</w:t>
      </w:r>
      <w:r w:rsidR="007A4B82">
        <w:t>er</w:t>
      </w:r>
      <w:r w:rsidR="000D3BAF">
        <w:t xml:space="preserve"> than the United States.  </w:t>
      </w:r>
      <w:r w:rsidR="00D42FB8">
        <w:t>While not a</w:t>
      </w:r>
      <w:r w:rsidR="00CE28AA">
        <w:t xml:space="preserve"> measure of energy efficiency, t</w:t>
      </w:r>
      <w:r w:rsidR="007C6920">
        <w:t xml:space="preserve">his </w:t>
      </w:r>
      <w:r w:rsidR="00CE28AA">
        <w:t xml:space="preserve">figure shows </w:t>
      </w:r>
      <w:r w:rsidR="009E7BD4">
        <w:t>Norway produces relatively</w:t>
      </w:r>
      <w:r w:rsidR="007C6920">
        <w:t xml:space="preserve"> little </w:t>
      </w:r>
      <w:r w:rsidR="009C39B1">
        <w:t>CO</w:t>
      </w:r>
      <w:r w:rsidR="009C39B1" w:rsidRPr="00B00F32">
        <w:rPr>
          <w:vertAlign w:val="subscript"/>
        </w:rPr>
        <w:t>2</w:t>
      </w:r>
      <w:r w:rsidR="007C6920">
        <w:t xml:space="preserve"> per unit energy consumed, and therefore is very green compared to the United States.</w:t>
      </w:r>
      <w:r w:rsidR="000F1359">
        <w:rPr>
          <w:rStyle w:val="FootnoteReference"/>
        </w:rPr>
        <w:footnoteReference w:id="28"/>
      </w:r>
      <w:r w:rsidR="007C6920">
        <w:t xml:space="preserve">  </w:t>
      </w:r>
    </w:p>
    <w:p w:rsidR="00AC3900" w:rsidRDefault="00AC3900" w:rsidP="00AC3900">
      <w:r>
        <w:br w:type="page"/>
      </w:r>
    </w:p>
    <w:p w:rsidR="0091145E" w:rsidRPr="0073001D" w:rsidRDefault="00EF6320" w:rsidP="0073001D">
      <w:pPr>
        <w:spacing w:line="36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lastRenderedPageBreak/>
        <w:t>Norway’s</w:t>
      </w:r>
      <w:r w:rsidR="008023DA">
        <w:rPr>
          <w:b/>
          <w:u w:val="single"/>
        </w:rPr>
        <w:t xml:space="preserve"> </w:t>
      </w:r>
      <w:r w:rsidR="0073001D" w:rsidRPr="0073001D">
        <w:rPr>
          <w:b/>
          <w:u w:val="single"/>
        </w:rPr>
        <w:t xml:space="preserve">Energy </w:t>
      </w:r>
      <w:r w:rsidR="00837E98">
        <w:rPr>
          <w:b/>
          <w:u w:val="single"/>
        </w:rPr>
        <w:t xml:space="preserve">Policy </w:t>
      </w:r>
      <w:r w:rsidR="0073001D" w:rsidRPr="0073001D">
        <w:rPr>
          <w:b/>
          <w:u w:val="single"/>
        </w:rPr>
        <w:t>into the Future</w:t>
      </w:r>
    </w:p>
    <w:p w:rsidR="0091145E" w:rsidRDefault="0091145E" w:rsidP="0073001D">
      <w:pPr>
        <w:spacing w:line="360" w:lineRule="auto"/>
        <w:contextualSpacing/>
      </w:pPr>
    </w:p>
    <w:p w:rsidR="000F5908" w:rsidRDefault="0080087E" w:rsidP="0073001D">
      <w:pPr>
        <w:spacing w:line="360" w:lineRule="auto"/>
        <w:contextualSpacing/>
      </w:pPr>
      <w:r>
        <w:tab/>
      </w:r>
      <w:r w:rsidR="00CC6388">
        <w:t xml:space="preserve">In the future, Norway plans to </w:t>
      </w:r>
      <w:r w:rsidR="00975B26">
        <w:t xml:space="preserve">rely on fossil fuels while transitioning to a </w:t>
      </w:r>
      <w:r w:rsidR="00CF23AA">
        <w:t>renewable</w:t>
      </w:r>
      <w:r w:rsidR="00975B26">
        <w:t xml:space="preserve"> energy </w:t>
      </w:r>
      <w:r w:rsidR="00DB6C4F">
        <w:t>based economy</w:t>
      </w:r>
      <w:r w:rsidR="00975B26">
        <w:t>.</w:t>
      </w:r>
      <w:r w:rsidR="00CD4152">
        <w:t xml:space="preserve">  </w:t>
      </w:r>
      <w:r>
        <w:t xml:space="preserve">In 2008, the Norwegian Government pledged </w:t>
      </w:r>
      <w:r w:rsidR="00D83E69">
        <w:t>to be</w:t>
      </w:r>
      <w:r w:rsidR="00837A41">
        <w:t>come</w:t>
      </w:r>
      <w:r>
        <w:t xml:space="preserve"> carbon neutral by 2030.</w:t>
      </w:r>
      <w:r w:rsidR="006379C7">
        <w:rPr>
          <w:rStyle w:val="FootnoteReference"/>
        </w:rPr>
        <w:footnoteReference w:id="29"/>
      </w:r>
      <w:r>
        <w:t xml:space="preserve">  </w:t>
      </w:r>
      <w:r w:rsidR="00541C1E">
        <w:t>Norway will look to many different sources of energy</w:t>
      </w:r>
      <w:r w:rsidR="00F7425E">
        <w:t xml:space="preserve"> as part of a broad and </w:t>
      </w:r>
      <w:r w:rsidR="00363880">
        <w:t>diverse</w:t>
      </w:r>
      <w:r w:rsidR="00F7425E">
        <w:t xml:space="preserve"> energy policy</w:t>
      </w:r>
      <w:r w:rsidR="00CB3CA9">
        <w:t xml:space="preserve"> to accomplish this goal</w:t>
      </w:r>
      <w:r w:rsidR="00541C1E">
        <w:t xml:space="preserve">.  </w:t>
      </w:r>
      <w:r w:rsidR="00E03257">
        <w:t>The following figure shows the projected growth of Norwegian energy consumption</w:t>
      </w:r>
      <w:r w:rsidR="00C9016E">
        <w:t xml:space="preserve"> </w:t>
      </w:r>
      <w:r w:rsidR="00E03257">
        <w:t xml:space="preserve">until 2020.  </w:t>
      </w:r>
    </w:p>
    <w:p w:rsidR="000F5908" w:rsidRDefault="000F5908" w:rsidP="0073001D">
      <w:pPr>
        <w:spacing w:line="360" w:lineRule="auto"/>
        <w:contextualSpacing/>
      </w:pPr>
    </w:p>
    <w:p w:rsidR="00E03257" w:rsidRDefault="007F02F6" w:rsidP="00E03257">
      <w:pPr>
        <w:keepNext/>
        <w:spacing w:line="360" w:lineRule="auto"/>
        <w:contextualSpacing/>
        <w:jc w:val="center"/>
      </w:pPr>
      <w:r w:rsidRPr="007F02F6">
        <w:rPr>
          <w:noProof/>
        </w:rPr>
        <w:drawing>
          <wp:inline distT="0" distB="0" distL="0" distR="0">
            <wp:extent cx="5808544" cy="3016155"/>
            <wp:effectExtent l="19050" t="0" r="20756" b="0"/>
            <wp:docPr id="1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F5908" w:rsidRDefault="00E03257" w:rsidP="00E03257">
      <w:pPr>
        <w:pStyle w:val="Caption"/>
        <w:jc w:val="center"/>
      </w:pPr>
      <w:r>
        <w:t xml:space="preserve">Figure </w:t>
      </w:r>
      <w:fldSimple w:instr=" SEQ Figure \* ARABIC ">
        <w:r w:rsidR="000F0377">
          <w:rPr>
            <w:noProof/>
          </w:rPr>
          <w:t>7</w:t>
        </w:r>
      </w:fldSimple>
      <w:r>
        <w:t>: Projected Norwegian Energy Consumption</w:t>
      </w:r>
      <w:r w:rsidR="000D31A5">
        <w:rPr>
          <w:rStyle w:val="FootnoteReference"/>
        </w:rPr>
        <w:footnoteReference w:id="30"/>
      </w:r>
    </w:p>
    <w:p w:rsidR="000F5908" w:rsidRDefault="000F5908" w:rsidP="0073001D">
      <w:pPr>
        <w:spacing w:line="360" w:lineRule="auto"/>
        <w:contextualSpacing/>
      </w:pPr>
    </w:p>
    <w:p w:rsidR="0091145E" w:rsidRDefault="005305CF" w:rsidP="0073001D">
      <w:pPr>
        <w:spacing w:line="360" w:lineRule="auto"/>
        <w:contextualSpacing/>
      </w:pPr>
      <w:r>
        <w:t>Extrapolating the data</w:t>
      </w:r>
      <w:r w:rsidR="00C2544C">
        <w:t xml:space="preserve"> </w:t>
      </w:r>
      <w:r w:rsidR="00DA7ED4">
        <w:t>using</w:t>
      </w:r>
      <w:r w:rsidR="00C2544C">
        <w:t xml:space="preserve"> a conservative linear trend</w:t>
      </w:r>
      <w:r w:rsidR="002317CD">
        <w:t>-</w:t>
      </w:r>
      <w:r w:rsidR="00C2544C">
        <w:t>line</w:t>
      </w:r>
      <w:r>
        <w:t xml:space="preserve">, Norwegian energy demand will </w:t>
      </w:r>
      <w:r w:rsidR="00C2544C">
        <w:t xml:space="preserve">pass 50 mtoe/year </w:t>
      </w:r>
      <w:r w:rsidR="003D18D0">
        <w:t>by 2020</w:t>
      </w:r>
      <w:r w:rsidR="00050687">
        <w:t>, during which time</w:t>
      </w:r>
      <w:r w:rsidR="00C9016E">
        <w:t xml:space="preserve"> the Norwegian population is expected to </w:t>
      </w:r>
      <w:r w:rsidR="0099014B">
        <w:t>grow to about 5.5 million people</w:t>
      </w:r>
      <w:r w:rsidR="00C9016E">
        <w:t>.</w:t>
      </w:r>
      <w:r w:rsidR="006379C7">
        <w:rPr>
          <w:rStyle w:val="FootnoteReference"/>
        </w:rPr>
        <w:footnoteReference w:id="31"/>
      </w:r>
      <w:r w:rsidR="00C9016E">
        <w:t xml:space="preserve">  </w:t>
      </w:r>
      <w:r w:rsidR="005101FE">
        <w:t xml:space="preserve">To </w:t>
      </w:r>
      <w:r>
        <w:t>meet this increased demand</w:t>
      </w:r>
      <w:r w:rsidR="005101FE">
        <w:t xml:space="preserve">, the country has been heavily investing in research and development of alternative energy.  </w:t>
      </w:r>
      <w:r w:rsidR="00046FB0">
        <w:t>In 2008, t</w:t>
      </w:r>
      <w:r w:rsidR="005101FE">
        <w:t>he Norwegian Minster of Petroleum and Energy received a report on green energy</w:t>
      </w:r>
      <w:r w:rsidR="00474D04">
        <w:t xml:space="preserve"> called</w:t>
      </w:r>
      <w:r w:rsidR="005101FE">
        <w:t xml:space="preserve"> Energy21</w:t>
      </w:r>
      <w:r w:rsidR="00046FB0">
        <w:t xml:space="preserve">, which laid out </w:t>
      </w:r>
      <w:r w:rsidR="00046FB0">
        <w:lastRenderedPageBreak/>
        <w:t>proposed Norwegian energy polic</w:t>
      </w:r>
      <w:r w:rsidR="00474D04">
        <w:t>ies</w:t>
      </w:r>
      <w:r w:rsidR="00046FB0">
        <w:t xml:space="preserve"> for the future</w:t>
      </w:r>
      <w:r w:rsidR="005101FE">
        <w:t>.</w:t>
      </w:r>
      <w:r w:rsidR="00995668">
        <w:rPr>
          <w:rStyle w:val="FootnoteReference"/>
        </w:rPr>
        <w:footnoteReference w:id="32"/>
      </w:r>
      <w:r w:rsidR="00992D87">
        <w:t xml:space="preserve">  </w:t>
      </w:r>
      <w:r w:rsidR="00212BFA">
        <w:t>The “Energy and Electricity Balance towards 2020” report on renewable energy sources to the Norwegian Storting (Parliament) recommended a variety of actions to be taken within the next few years.</w:t>
      </w:r>
      <w:r w:rsidR="00881230">
        <w:rPr>
          <w:rStyle w:val="FootnoteReference"/>
        </w:rPr>
        <w:footnoteReference w:id="33"/>
      </w:r>
      <w:r w:rsidR="00212BFA">
        <w:t xml:space="preserve">  </w:t>
      </w:r>
      <w:r w:rsidR="00D709F6">
        <w:t>O</w:t>
      </w:r>
      <w:r w:rsidR="00212BFA">
        <w:t xml:space="preserve">ne of the themes of the report </w:t>
      </w:r>
      <w:r w:rsidR="008D6B66">
        <w:t xml:space="preserve">is </w:t>
      </w:r>
      <w:r w:rsidR="00D709F6">
        <w:t xml:space="preserve">to bring </w:t>
      </w:r>
      <w:r w:rsidR="00212BFA">
        <w:t>Norway away from its dependence on hydroelectric</w:t>
      </w:r>
      <w:r w:rsidR="00D709F6">
        <w:t>ity</w:t>
      </w:r>
      <w:r w:rsidR="000E4C96">
        <w:t xml:space="preserve"> by researching and funding </w:t>
      </w:r>
      <w:r w:rsidR="00327F92">
        <w:t>diverse</w:t>
      </w:r>
      <w:r w:rsidR="000E4C96">
        <w:t xml:space="preserve"> sources of renewable energy</w:t>
      </w:r>
      <w:r w:rsidR="00212BFA">
        <w:t>.</w:t>
      </w:r>
      <w:r w:rsidR="00881230">
        <w:rPr>
          <w:rStyle w:val="FootnoteReference"/>
        </w:rPr>
        <w:footnoteReference w:id="34"/>
      </w:r>
      <w:r w:rsidR="00212BFA">
        <w:t xml:space="preserve">  </w:t>
      </w:r>
      <w:r w:rsidR="008D6B66">
        <w:t xml:space="preserve">Norway </w:t>
      </w:r>
      <w:r w:rsidR="00EC18BA">
        <w:t xml:space="preserve">not only </w:t>
      </w:r>
      <w:r w:rsidR="008D6B66">
        <w:t xml:space="preserve">plans to become greener, but to provide </w:t>
      </w:r>
      <w:r w:rsidR="00CE2889">
        <w:t xml:space="preserve">the </w:t>
      </w:r>
      <w:r w:rsidR="008D6B66">
        <w:t xml:space="preserve">means </w:t>
      </w:r>
      <w:r w:rsidR="00CE2889">
        <w:t>of</w:t>
      </w:r>
      <w:r w:rsidR="008D6B66">
        <w:t xml:space="preserve"> carbon neutrality to other nations as well by exporting green energy.</w:t>
      </w:r>
      <w:r w:rsidR="00881230">
        <w:rPr>
          <w:rStyle w:val="FootnoteReference"/>
        </w:rPr>
        <w:footnoteReference w:id="35"/>
      </w:r>
    </w:p>
    <w:p w:rsidR="005B42D9" w:rsidRDefault="005B42D9" w:rsidP="0073001D">
      <w:pPr>
        <w:spacing w:line="360" w:lineRule="auto"/>
        <w:contextualSpacing/>
      </w:pPr>
    </w:p>
    <w:p w:rsidR="006A30C8" w:rsidRPr="006A30C8" w:rsidRDefault="006A30C8" w:rsidP="0073001D">
      <w:pPr>
        <w:spacing w:line="360" w:lineRule="auto"/>
        <w:contextualSpacing/>
        <w:rPr>
          <w:u w:val="single"/>
        </w:rPr>
      </w:pPr>
      <w:r w:rsidRPr="006A30C8">
        <w:rPr>
          <w:u w:val="single"/>
        </w:rPr>
        <w:t>Oil and Gas</w:t>
      </w:r>
    </w:p>
    <w:p w:rsidR="006A30C8" w:rsidRDefault="006A30C8" w:rsidP="0073001D">
      <w:pPr>
        <w:spacing w:line="360" w:lineRule="auto"/>
        <w:contextualSpacing/>
      </w:pPr>
    </w:p>
    <w:p w:rsidR="00B35682" w:rsidRDefault="00CA75FE" w:rsidP="0073001D">
      <w:pPr>
        <w:spacing w:line="360" w:lineRule="auto"/>
        <w:contextualSpacing/>
      </w:pPr>
      <w:r>
        <w:tab/>
      </w:r>
      <w:r w:rsidR="003E337C">
        <w:t xml:space="preserve">The Norwegian Government’s goal of carbon neutrality sits in stark contrast </w:t>
      </w:r>
      <w:r w:rsidR="006B2917">
        <w:t>to</w:t>
      </w:r>
      <w:r w:rsidR="003E337C">
        <w:t xml:space="preserve"> the reality that they </w:t>
      </w:r>
      <w:r w:rsidR="00D31848">
        <w:t xml:space="preserve">were </w:t>
      </w:r>
      <w:r w:rsidR="006B7264">
        <w:t>the seventh largest</w:t>
      </w:r>
      <w:r w:rsidR="003E337C">
        <w:t xml:space="preserve"> oil producer</w:t>
      </w:r>
      <w:r w:rsidR="006B7264">
        <w:t xml:space="preserve"> in the world</w:t>
      </w:r>
      <w:r w:rsidR="003E337C">
        <w:t xml:space="preserve"> as of 200</w:t>
      </w:r>
      <w:r w:rsidR="00FC0C27">
        <w:t>5</w:t>
      </w:r>
      <w:r w:rsidR="003E337C">
        <w:t>.</w:t>
      </w:r>
      <w:r w:rsidR="00CF0B35">
        <w:rPr>
          <w:rStyle w:val="FootnoteReference"/>
        </w:rPr>
        <w:footnoteReference w:id="36"/>
      </w:r>
      <w:r w:rsidR="003E337C">
        <w:t xml:space="preserve">  </w:t>
      </w:r>
      <w:r w:rsidR="002529DE">
        <w:t>While carbon neutrality is a lofty goal, “the main polluter in Norway is heavy industr</w:t>
      </w:r>
      <w:r w:rsidR="00E35724">
        <w:t>y: oil, gas, and metal refining,</w:t>
      </w:r>
      <w:r w:rsidR="002529DE">
        <w:t xml:space="preserve">” </w:t>
      </w:r>
      <w:r w:rsidR="00E35724">
        <w:t xml:space="preserve">which are </w:t>
      </w:r>
      <w:r w:rsidR="002529DE">
        <w:t>the linchpins of the country’s economy.</w:t>
      </w:r>
      <w:r w:rsidR="00CF0B35">
        <w:rPr>
          <w:rStyle w:val="FootnoteReference"/>
        </w:rPr>
        <w:footnoteReference w:id="37"/>
      </w:r>
      <w:r w:rsidR="002529DE">
        <w:t xml:space="preserve">  </w:t>
      </w:r>
      <w:r w:rsidR="00B35682">
        <w:t xml:space="preserve">The following figure shows the proven oil reserves of Norway from its peak in 1997 to 2008.  </w:t>
      </w:r>
    </w:p>
    <w:p w:rsidR="00B35682" w:rsidRDefault="00B35682" w:rsidP="0073001D">
      <w:pPr>
        <w:spacing w:line="360" w:lineRule="auto"/>
        <w:contextualSpacing/>
      </w:pPr>
    </w:p>
    <w:p w:rsidR="00B35682" w:rsidRDefault="00E4324E" w:rsidP="00B35682">
      <w:pPr>
        <w:keepNext/>
        <w:spacing w:line="360" w:lineRule="auto"/>
        <w:contextualSpacing/>
        <w:jc w:val="center"/>
      </w:pPr>
      <w:r w:rsidRPr="00E4324E">
        <w:rPr>
          <w:noProof/>
        </w:rPr>
        <w:lastRenderedPageBreak/>
        <w:drawing>
          <wp:inline distT="0" distB="0" distL="0" distR="0">
            <wp:extent cx="5753953" cy="3156917"/>
            <wp:effectExtent l="19050" t="0" r="18197" b="5383"/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35682" w:rsidRDefault="00B35682" w:rsidP="00B35682">
      <w:pPr>
        <w:pStyle w:val="Caption"/>
        <w:jc w:val="center"/>
      </w:pPr>
      <w:r>
        <w:t xml:space="preserve">Figure </w:t>
      </w:r>
      <w:fldSimple w:instr=" SEQ Figure \* ARABIC ">
        <w:r w:rsidR="000F0377">
          <w:rPr>
            <w:noProof/>
          </w:rPr>
          <w:t>8</w:t>
        </w:r>
      </w:fldSimple>
      <w:r>
        <w:t>: Norwegian Proven Oil Reserves</w:t>
      </w:r>
      <w:r w:rsidR="00D27EA2">
        <w:rPr>
          <w:rStyle w:val="FootnoteReference"/>
        </w:rPr>
        <w:footnoteReference w:id="38"/>
      </w:r>
    </w:p>
    <w:p w:rsidR="00B35682" w:rsidRDefault="00B35682" w:rsidP="0073001D">
      <w:pPr>
        <w:spacing w:line="360" w:lineRule="auto"/>
        <w:contextualSpacing/>
      </w:pPr>
    </w:p>
    <w:p w:rsidR="00B12F4B" w:rsidRDefault="005A59CE" w:rsidP="0073001D">
      <w:pPr>
        <w:spacing w:line="360" w:lineRule="auto"/>
        <w:contextualSpacing/>
      </w:pPr>
      <w:r>
        <w:t>The figure shows t</w:t>
      </w:r>
      <w:r w:rsidR="00626004">
        <w:t xml:space="preserve">he oil reserves of Norway being depleted without new fields being found.  The figure also extrapolates the </w:t>
      </w:r>
      <w:r w:rsidR="007374AB">
        <w:t xml:space="preserve">second order </w:t>
      </w:r>
      <w:r w:rsidR="00B83E78">
        <w:t xml:space="preserve">polynomial </w:t>
      </w:r>
      <w:r w:rsidR="00626004">
        <w:t>trend</w:t>
      </w:r>
      <w:r w:rsidR="002317CD">
        <w:t>-</w:t>
      </w:r>
      <w:r w:rsidR="00481861">
        <w:t>line</w:t>
      </w:r>
      <w:r w:rsidR="002F3A47">
        <w:t xml:space="preserve"> </w:t>
      </w:r>
      <w:r w:rsidR="00626004">
        <w:t xml:space="preserve">to show that without major oil discovery, Norway’s proven reserves could run out </w:t>
      </w:r>
      <w:r w:rsidR="00F461FD">
        <w:t>within eight</w:t>
      </w:r>
      <w:r w:rsidR="00626004">
        <w:t xml:space="preserve"> years</w:t>
      </w:r>
      <w:r w:rsidR="00050863">
        <w:t>.  While this does not mean</w:t>
      </w:r>
      <w:r w:rsidR="00626004">
        <w:t xml:space="preserve"> production wo</w:t>
      </w:r>
      <w:r w:rsidR="00E45DFA">
        <w:t>uld stop</w:t>
      </w:r>
      <w:r w:rsidR="00050863">
        <w:t>, it does mean</w:t>
      </w:r>
      <w:r w:rsidR="00626004">
        <w:t xml:space="preserve"> Norway must begin exploration of new sources of oil in earnest</w:t>
      </w:r>
      <w:r w:rsidR="00875AD9">
        <w:t xml:space="preserve"> to offset decreasing</w:t>
      </w:r>
      <w:r w:rsidR="0018359A">
        <w:t xml:space="preserve"> reserves</w:t>
      </w:r>
      <w:r w:rsidR="00626004">
        <w:t xml:space="preserve">.  </w:t>
      </w:r>
    </w:p>
    <w:p w:rsidR="003E337C" w:rsidRPr="00FF3F97" w:rsidRDefault="00B24C43" w:rsidP="00B12F4B">
      <w:pPr>
        <w:spacing w:line="360" w:lineRule="auto"/>
        <w:ind w:firstLine="720"/>
        <w:contextualSpacing/>
      </w:pPr>
      <w:r>
        <w:t xml:space="preserve">With the decline in </w:t>
      </w:r>
      <w:r w:rsidR="00050863">
        <w:t xml:space="preserve">North Sea </w:t>
      </w:r>
      <w:r>
        <w:t>production, Norway will have to continue its search for alternative oil fields or risk becoming an oil importing state.</w:t>
      </w:r>
      <w:r w:rsidR="00072C5C">
        <w:rPr>
          <w:rStyle w:val="FootnoteReference"/>
        </w:rPr>
        <w:footnoteReference w:id="39"/>
      </w:r>
      <w:r>
        <w:t xml:space="preserve">  </w:t>
      </w:r>
      <w:r w:rsidR="00A20709">
        <w:t>The arctic seafloor promises to be a heavy contributor of mineral resources in the future, as it may</w:t>
      </w:r>
      <w:r w:rsidR="00A20709" w:rsidRPr="00A20709">
        <w:rPr>
          <w:color w:val="000000"/>
        </w:rPr>
        <w:t xml:space="preserve"> account for a quarter of the world's undiscovered oil and gas reserves</w:t>
      </w:r>
      <w:r w:rsidR="00A20709" w:rsidRPr="00A20709">
        <w:t>.</w:t>
      </w:r>
      <w:r w:rsidR="00072C5C">
        <w:rPr>
          <w:rStyle w:val="FootnoteReference"/>
        </w:rPr>
        <w:footnoteReference w:id="40"/>
      </w:r>
      <w:r w:rsidR="00A20709" w:rsidRPr="00A20709">
        <w:t xml:space="preserve">  </w:t>
      </w:r>
      <w:r w:rsidR="00A64081">
        <w:t xml:space="preserve">The legal owner of </w:t>
      </w:r>
      <w:r w:rsidR="00315E49">
        <w:t xml:space="preserve">the </w:t>
      </w:r>
      <w:r w:rsidR="004676FE">
        <w:t xml:space="preserve">minerals in the arctic </w:t>
      </w:r>
      <w:r w:rsidR="00315E49">
        <w:t>sea</w:t>
      </w:r>
      <w:r w:rsidR="007854FB">
        <w:t>-</w:t>
      </w:r>
      <w:r w:rsidR="00315E49">
        <w:t xml:space="preserve">beds </w:t>
      </w:r>
      <w:r w:rsidR="00A64081">
        <w:t xml:space="preserve">is still undetermined </w:t>
      </w:r>
      <w:r w:rsidR="00315E49">
        <w:t>however.</w:t>
      </w:r>
      <w:r w:rsidR="00072C5C">
        <w:rPr>
          <w:rStyle w:val="FootnoteReference"/>
        </w:rPr>
        <w:footnoteReference w:id="41"/>
      </w:r>
      <w:r w:rsidR="00315E49">
        <w:t xml:space="preserve">  </w:t>
      </w:r>
      <w:r w:rsidR="00B12F4B">
        <w:t xml:space="preserve">In 2006, Norway submitted a research study outlining </w:t>
      </w:r>
      <w:r w:rsidR="00A04B69">
        <w:t>its</w:t>
      </w:r>
      <w:r w:rsidR="00B12F4B">
        <w:t xml:space="preserve"> continental shelf to the United Nations.</w:t>
      </w:r>
      <w:r w:rsidR="00072C5C">
        <w:rPr>
          <w:rStyle w:val="FootnoteReference"/>
        </w:rPr>
        <w:footnoteReference w:id="42"/>
      </w:r>
      <w:r w:rsidR="00B12F4B">
        <w:t xml:space="preserve">  </w:t>
      </w:r>
      <w:r w:rsidR="0082504F">
        <w:t xml:space="preserve">In the report, Norway claimed the sea shelf extending </w:t>
      </w:r>
      <w:r w:rsidR="0082504F">
        <w:lastRenderedPageBreak/>
        <w:t>beyond 200 nautical miles of its coast.</w:t>
      </w:r>
      <w:r w:rsidR="00072C5C">
        <w:rPr>
          <w:rStyle w:val="FootnoteReference"/>
        </w:rPr>
        <w:footnoteReference w:id="43"/>
      </w:r>
      <w:r w:rsidR="0082504F">
        <w:t xml:space="preserve">  </w:t>
      </w:r>
      <w:r w:rsidR="008A3088">
        <w:t>Norway’s submission</w:t>
      </w:r>
      <w:r w:rsidR="00FF3F97" w:rsidRPr="00FF3F97">
        <w:rPr>
          <w:color w:val="000000"/>
        </w:rPr>
        <w:t xml:space="preserve"> i</w:t>
      </w:r>
      <w:r w:rsidR="00996EF2">
        <w:rPr>
          <w:color w:val="000000"/>
        </w:rPr>
        <w:t>s primarily concerned with a</w:t>
      </w:r>
      <w:r w:rsidR="00FF3F97" w:rsidRPr="00FF3F97">
        <w:rPr>
          <w:color w:val="000000"/>
        </w:rPr>
        <w:t xml:space="preserve"> </w:t>
      </w:r>
      <w:r w:rsidR="008A3088">
        <w:rPr>
          <w:color w:val="000000"/>
        </w:rPr>
        <w:t xml:space="preserve">Barents Sea </w:t>
      </w:r>
      <w:r w:rsidR="00FF3F97" w:rsidRPr="00FF3F97">
        <w:rPr>
          <w:color w:val="000000"/>
        </w:rPr>
        <w:t>basin</w:t>
      </w:r>
      <w:r w:rsidR="008A3088">
        <w:rPr>
          <w:color w:val="000000"/>
        </w:rPr>
        <w:t xml:space="preserve"> which is purported to hold m</w:t>
      </w:r>
      <w:r w:rsidR="00FF3F97" w:rsidRPr="00FF3F97">
        <w:rPr>
          <w:color w:val="000000"/>
        </w:rPr>
        <w:t>ore than twice Canada's gas reserves.</w:t>
      </w:r>
      <w:r w:rsidR="005D67A1">
        <w:rPr>
          <w:rStyle w:val="FootnoteReference"/>
          <w:color w:val="000000"/>
        </w:rPr>
        <w:footnoteReference w:id="44"/>
      </w:r>
      <w:r w:rsidR="005F356B" w:rsidRPr="00FF3F97">
        <w:t xml:space="preserve"> </w:t>
      </w:r>
      <w:r w:rsidR="00FF3F97">
        <w:t xml:space="preserve"> </w:t>
      </w:r>
    </w:p>
    <w:p w:rsidR="003D62A2" w:rsidRDefault="003D62A2" w:rsidP="00654CFA">
      <w:pPr>
        <w:spacing w:line="360" w:lineRule="auto"/>
        <w:ind w:firstLine="720"/>
        <w:contextualSpacing/>
      </w:pPr>
      <w:r>
        <w:t xml:space="preserve">Norway </w:t>
      </w:r>
      <w:r w:rsidR="00996EF2">
        <w:t>is</w:t>
      </w:r>
      <w:r>
        <w:t xml:space="preserve"> also a leader in developing carbon neutral technologies </w:t>
      </w:r>
      <w:r w:rsidR="005068AE">
        <w:t>for current fossil fuel energy generation.</w:t>
      </w:r>
      <w:r w:rsidR="005D67A1">
        <w:rPr>
          <w:rStyle w:val="FootnoteReference"/>
        </w:rPr>
        <w:footnoteReference w:id="45"/>
      </w:r>
      <w:r w:rsidR="005068AE">
        <w:t xml:space="preserve">  </w:t>
      </w:r>
      <w:r w:rsidR="007236E4">
        <w:t xml:space="preserve">  StatO</w:t>
      </w:r>
      <w:r w:rsidR="006B7970">
        <w:t>ilHydro’s Sleipner field is the large</w:t>
      </w:r>
      <w:r w:rsidR="002F1BCE">
        <w:t>s</w:t>
      </w:r>
      <w:r w:rsidR="006B7970">
        <w:t>t commercial carbon storage facility.</w:t>
      </w:r>
      <w:r w:rsidR="006B7970">
        <w:rPr>
          <w:rStyle w:val="FootnoteReference"/>
        </w:rPr>
        <w:footnoteReference w:id="46"/>
      </w:r>
      <w:r w:rsidR="006B7970">
        <w:t xml:space="preserve">  </w:t>
      </w:r>
      <w:r w:rsidR="006D08CC">
        <w:t>S</w:t>
      </w:r>
      <w:r w:rsidR="007C7496">
        <w:t>ince 1996</w:t>
      </w:r>
      <w:r w:rsidR="007300B6">
        <w:t>,</w:t>
      </w:r>
      <w:r w:rsidR="007C7496">
        <w:t xml:space="preserve"> </w:t>
      </w:r>
      <w:r w:rsidR="007854FB">
        <w:t>over 10 million T</w:t>
      </w:r>
      <w:r w:rsidR="007820D2">
        <w:t>onnes o</w:t>
      </w:r>
      <w:r w:rsidR="00F07810">
        <w:t xml:space="preserve">f </w:t>
      </w:r>
      <w:r w:rsidR="00F27849">
        <w:t>CO</w:t>
      </w:r>
      <w:r w:rsidR="00F27849" w:rsidRPr="00B00F32">
        <w:rPr>
          <w:vertAlign w:val="subscript"/>
        </w:rPr>
        <w:t>2</w:t>
      </w:r>
      <w:r w:rsidR="007525F8">
        <w:t xml:space="preserve"> have been sequestered in the</w:t>
      </w:r>
      <w:r w:rsidR="007820D2">
        <w:t xml:space="preserve"> rock formation </w:t>
      </w:r>
      <w:r w:rsidR="00C45914">
        <w:t xml:space="preserve">250 kilometers from land </w:t>
      </w:r>
      <w:r w:rsidR="007820D2">
        <w:t>under the North Sea.</w:t>
      </w:r>
      <w:r w:rsidR="005D67A1">
        <w:rPr>
          <w:rStyle w:val="FootnoteReference"/>
        </w:rPr>
        <w:footnoteReference w:id="47"/>
      </w:r>
      <w:r w:rsidR="007820D2">
        <w:t xml:space="preserve">  </w:t>
      </w:r>
      <w:r w:rsidR="007236E4">
        <w:t>StatO</w:t>
      </w:r>
      <w:r w:rsidR="008D1602">
        <w:t xml:space="preserve">ilHydro has also constructed the Snøhvit field LNG carbon sequestration facility, which pumps </w:t>
      </w:r>
      <w:r w:rsidR="00636B8B">
        <w:t>CO</w:t>
      </w:r>
      <w:r w:rsidR="00636B8B" w:rsidRPr="00B00F32">
        <w:rPr>
          <w:vertAlign w:val="subscript"/>
        </w:rPr>
        <w:t>2</w:t>
      </w:r>
      <w:r w:rsidR="008D1602">
        <w:t xml:space="preserve"> back into the formati</w:t>
      </w:r>
      <w:r w:rsidR="00B954DC">
        <w:t xml:space="preserve">on </w:t>
      </w:r>
      <w:r w:rsidR="00512F68">
        <w:t>after</w:t>
      </w:r>
      <w:r w:rsidR="00B954DC">
        <w:t xml:space="preserve"> separ</w:t>
      </w:r>
      <w:r w:rsidR="00512F68">
        <w:t>ation</w:t>
      </w:r>
      <w:r w:rsidR="00B954DC">
        <w:t xml:space="preserve"> from natural</w:t>
      </w:r>
      <w:r w:rsidR="008D1602">
        <w:t xml:space="preserve"> gas.</w:t>
      </w:r>
      <w:r w:rsidR="005D67A1">
        <w:rPr>
          <w:rStyle w:val="FootnoteReference"/>
        </w:rPr>
        <w:footnoteReference w:id="48"/>
      </w:r>
      <w:r w:rsidR="00354AE6">
        <w:t xml:space="preserve">  The project went online in 2007 and</w:t>
      </w:r>
      <w:r w:rsidR="008D1602">
        <w:t xml:space="preserve"> is</w:t>
      </w:r>
      <w:r w:rsidR="00441E51">
        <w:t xml:space="preserve"> expected to sequester 700 kilo-Tonnes</w:t>
      </w:r>
      <w:r w:rsidR="005E4B4B">
        <w:t xml:space="preserve"> per </w:t>
      </w:r>
      <w:r w:rsidR="008D1602">
        <w:t>year.</w:t>
      </w:r>
      <w:r w:rsidR="005D67A1">
        <w:rPr>
          <w:rStyle w:val="FootnoteReference"/>
        </w:rPr>
        <w:footnoteReference w:id="49"/>
      </w:r>
      <w:r w:rsidR="008D1602">
        <w:t xml:space="preserve">  </w:t>
      </w:r>
    </w:p>
    <w:p w:rsidR="0038714B" w:rsidRDefault="00654CFA" w:rsidP="00136ADC">
      <w:pPr>
        <w:autoSpaceDE w:val="0"/>
        <w:autoSpaceDN w:val="0"/>
        <w:adjustRightInd w:val="0"/>
        <w:spacing w:after="0" w:line="360" w:lineRule="auto"/>
        <w:ind w:firstLine="720"/>
        <w:contextualSpacing/>
        <w:rPr>
          <w:bCs/>
        </w:rPr>
      </w:pPr>
      <w:r>
        <w:t xml:space="preserve">Recently, the Research Council of Norway partnered with </w:t>
      </w:r>
      <w:r w:rsidR="00440C4F">
        <w:t>Gassnova to create CLIMIT,</w:t>
      </w:r>
      <w:r w:rsidR="003932D8">
        <w:t xml:space="preserve"> </w:t>
      </w:r>
      <w:r>
        <w:t>a research institute aimed at making carbon capture and storage more efficient and profitable in fossil fuel production.</w:t>
      </w:r>
      <w:r w:rsidR="005D67A1">
        <w:rPr>
          <w:rStyle w:val="FootnoteReference"/>
        </w:rPr>
        <w:footnoteReference w:id="50"/>
      </w:r>
      <w:r>
        <w:t xml:space="preserve">  </w:t>
      </w:r>
      <w:r w:rsidR="00192010">
        <w:rPr>
          <w:bCs/>
        </w:rPr>
        <w:t xml:space="preserve">CLIMIT’s research goals will provide </w:t>
      </w:r>
      <w:r w:rsidR="004C49DF">
        <w:rPr>
          <w:bCs/>
        </w:rPr>
        <w:t>various</w:t>
      </w:r>
      <w:r w:rsidR="008A25DB">
        <w:rPr>
          <w:bCs/>
        </w:rPr>
        <w:t xml:space="preserve"> means to address the carbon </w:t>
      </w:r>
      <w:r w:rsidR="004C49DF">
        <w:rPr>
          <w:bCs/>
        </w:rPr>
        <w:t>output</w:t>
      </w:r>
      <w:r w:rsidR="008A25DB">
        <w:rPr>
          <w:bCs/>
        </w:rPr>
        <w:t xml:space="preserve"> problem</w:t>
      </w:r>
      <w:r w:rsidR="00BE6AA0">
        <w:rPr>
          <w:bCs/>
        </w:rPr>
        <w:t xml:space="preserve"> by capturing and storing </w:t>
      </w:r>
      <w:r w:rsidR="00BC050D">
        <w:t>CO</w:t>
      </w:r>
      <w:r w:rsidR="00BC050D" w:rsidRPr="00B00F32">
        <w:rPr>
          <w:vertAlign w:val="subscript"/>
        </w:rPr>
        <w:t>2</w:t>
      </w:r>
      <w:r w:rsidR="00BE6AA0">
        <w:rPr>
          <w:bCs/>
        </w:rPr>
        <w:t xml:space="preserve"> throughout the lifecycle of fossil fuel </w:t>
      </w:r>
      <w:r w:rsidR="00D42FE5">
        <w:rPr>
          <w:bCs/>
        </w:rPr>
        <w:t>production and</w:t>
      </w:r>
      <w:r w:rsidR="00BE6AA0">
        <w:rPr>
          <w:bCs/>
        </w:rPr>
        <w:t xml:space="preserve"> consumption</w:t>
      </w:r>
      <w:r w:rsidR="008A25DB">
        <w:rPr>
          <w:bCs/>
        </w:rPr>
        <w:t>.</w:t>
      </w:r>
      <w:r w:rsidR="005D67A1">
        <w:rPr>
          <w:rStyle w:val="FootnoteReference"/>
          <w:bCs/>
        </w:rPr>
        <w:footnoteReference w:id="51"/>
      </w:r>
      <w:r w:rsidR="008A25DB">
        <w:rPr>
          <w:bCs/>
        </w:rPr>
        <w:t xml:space="preserve">  </w:t>
      </w:r>
      <w:r w:rsidR="00AE17BA">
        <w:rPr>
          <w:bCs/>
        </w:rPr>
        <w:t xml:space="preserve">One such CLIMIT project is BIGCLC, </w:t>
      </w:r>
      <w:r w:rsidR="00B545F9">
        <w:rPr>
          <w:bCs/>
        </w:rPr>
        <w:t xml:space="preserve">which is </w:t>
      </w:r>
      <w:r w:rsidR="00AE17BA">
        <w:rPr>
          <w:bCs/>
        </w:rPr>
        <w:t xml:space="preserve">developing chemical processes for cleaning </w:t>
      </w:r>
      <w:r w:rsidR="00BC050D">
        <w:t>CO</w:t>
      </w:r>
      <w:r w:rsidR="00BC050D" w:rsidRPr="00B00F32">
        <w:rPr>
          <w:vertAlign w:val="subscript"/>
        </w:rPr>
        <w:t>2</w:t>
      </w:r>
      <w:r w:rsidR="00AE17BA">
        <w:rPr>
          <w:bCs/>
        </w:rPr>
        <w:t xml:space="preserve"> from the exhaust of fossil fuel power plants.</w:t>
      </w:r>
      <w:r w:rsidR="005D67A1">
        <w:rPr>
          <w:rStyle w:val="FootnoteReference"/>
          <w:bCs/>
        </w:rPr>
        <w:footnoteReference w:id="52"/>
      </w:r>
      <w:r w:rsidR="00AE17BA">
        <w:rPr>
          <w:bCs/>
        </w:rPr>
        <w:t xml:space="preserve">  </w:t>
      </w:r>
    </w:p>
    <w:p w:rsidR="0033591D" w:rsidRPr="00136ADC" w:rsidRDefault="009F4643" w:rsidP="00136ADC">
      <w:pPr>
        <w:autoSpaceDE w:val="0"/>
        <w:autoSpaceDN w:val="0"/>
        <w:adjustRightInd w:val="0"/>
        <w:spacing w:after="0" w:line="360" w:lineRule="auto"/>
        <w:ind w:firstLine="720"/>
        <w:contextualSpacing/>
        <w:rPr>
          <w:bCs/>
        </w:rPr>
      </w:pPr>
      <w:r>
        <w:rPr>
          <w:bCs/>
        </w:rPr>
        <w:t>Expanded Arctic reserves and</w:t>
      </w:r>
      <w:r w:rsidR="00315D99">
        <w:rPr>
          <w:bCs/>
        </w:rPr>
        <w:t xml:space="preserve"> carbon sequestration</w:t>
      </w:r>
      <w:r>
        <w:rPr>
          <w:bCs/>
        </w:rPr>
        <w:t xml:space="preserve"> help</w:t>
      </w:r>
      <w:r w:rsidR="00315D99">
        <w:rPr>
          <w:bCs/>
        </w:rPr>
        <w:t xml:space="preserve"> ensure </w:t>
      </w:r>
      <w:r w:rsidR="000A070C">
        <w:rPr>
          <w:bCs/>
        </w:rPr>
        <w:t>continued fuel supplies</w:t>
      </w:r>
      <w:r w:rsidR="00315D99">
        <w:rPr>
          <w:bCs/>
        </w:rPr>
        <w:t xml:space="preserve"> while increasing oil and gas production efficiency and recovery methods.  </w:t>
      </w:r>
    </w:p>
    <w:p w:rsidR="005B42D9" w:rsidRDefault="005B42D9" w:rsidP="00654CFA">
      <w:pPr>
        <w:spacing w:line="360" w:lineRule="auto"/>
        <w:contextualSpacing/>
      </w:pPr>
    </w:p>
    <w:p w:rsidR="006A30C8" w:rsidRPr="006A30C8" w:rsidRDefault="006A30C8" w:rsidP="00654CFA">
      <w:pPr>
        <w:spacing w:line="360" w:lineRule="auto"/>
        <w:contextualSpacing/>
        <w:rPr>
          <w:u w:val="single"/>
        </w:rPr>
      </w:pPr>
      <w:r w:rsidRPr="006A30C8">
        <w:rPr>
          <w:u w:val="single"/>
        </w:rPr>
        <w:t>Hydroelectric</w:t>
      </w:r>
      <w:r w:rsidR="00F84EC7">
        <w:rPr>
          <w:u w:val="single"/>
        </w:rPr>
        <w:t xml:space="preserve"> Power</w:t>
      </w:r>
    </w:p>
    <w:p w:rsidR="006A30C8" w:rsidRDefault="006A30C8" w:rsidP="0073001D">
      <w:pPr>
        <w:spacing w:line="360" w:lineRule="auto"/>
        <w:contextualSpacing/>
      </w:pPr>
    </w:p>
    <w:p w:rsidR="00CA75FE" w:rsidRDefault="00CA75FE" w:rsidP="00316814">
      <w:pPr>
        <w:spacing w:line="360" w:lineRule="auto"/>
        <w:ind w:firstLine="720"/>
        <w:contextualSpacing/>
      </w:pPr>
      <w:r>
        <w:t xml:space="preserve">Hydroelectric power has been the major generator of electricity in </w:t>
      </w:r>
      <w:r w:rsidR="00D82453">
        <w:t>Norway for the past forty years</w:t>
      </w:r>
      <w:r w:rsidR="0020211D">
        <w:t xml:space="preserve"> and</w:t>
      </w:r>
      <w:r>
        <w:t xml:space="preserve"> will continue to be the backbone of </w:t>
      </w:r>
      <w:r w:rsidR="00E7518B">
        <w:t>electricity</w:t>
      </w:r>
      <w:r>
        <w:t xml:space="preserve"> production into the future.  </w:t>
      </w:r>
      <w:r w:rsidR="009D4310">
        <w:lastRenderedPageBreak/>
        <w:t xml:space="preserve">Norway is trying to </w:t>
      </w:r>
      <w:r w:rsidR="0054753E">
        <w:t>wean</w:t>
      </w:r>
      <w:r w:rsidR="00D82453">
        <w:t xml:space="preserve"> itself from</w:t>
      </w:r>
      <w:r w:rsidR="009D4310">
        <w:t xml:space="preserve"> </w:t>
      </w:r>
      <w:r w:rsidR="005239D1">
        <w:t xml:space="preserve">almost total </w:t>
      </w:r>
      <w:r w:rsidR="00440C4F">
        <w:t>dependence on</w:t>
      </w:r>
      <w:r w:rsidR="009D4310">
        <w:t xml:space="preserve"> hydroelectric</w:t>
      </w:r>
      <w:r w:rsidR="00440C4F">
        <w:t>ity</w:t>
      </w:r>
      <w:r w:rsidR="009D4310">
        <w:t>.</w:t>
      </w:r>
      <w:r w:rsidR="00364E39">
        <w:rPr>
          <w:rStyle w:val="FootnoteReference"/>
        </w:rPr>
        <w:footnoteReference w:id="53"/>
      </w:r>
      <w:r w:rsidR="009D4310">
        <w:t xml:space="preserve">  </w:t>
      </w:r>
      <w:r w:rsidR="002476C1">
        <w:t xml:space="preserve">While </w:t>
      </w:r>
      <w:r w:rsidR="00440C4F">
        <w:t>conventional</w:t>
      </w:r>
      <w:r w:rsidR="002476C1">
        <w:t xml:space="preserve"> hydroelectric generators will continue to be use</w:t>
      </w:r>
      <w:r w:rsidR="0033591D">
        <w:t>d, the future is in ocean</w:t>
      </w:r>
      <w:r w:rsidR="009D4310">
        <w:t xml:space="preserve"> waves.</w:t>
      </w:r>
      <w:r w:rsidR="00D933B5">
        <w:rPr>
          <w:rStyle w:val="FootnoteReference"/>
        </w:rPr>
        <w:footnoteReference w:id="54"/>
      </w:r>
      <w:r w:rsidR="009D4310">
        <w:t xml:space="preserve">  </w:t>
      </w:r>
      <w:r w:rsidR="00B55479">
        <w:t>StatO</w:t>
      </w:r>
      <w:r w:rsidR="003F7291">
        <w:t>ilHydro, the state energy company, has invested heavily in a tidal power turbine called Hammerfest Strøm.</w:t>
      </w:r>
      <w:r w:rsidR="00D933B5">
        <w:rPr>
          <w:rStyle w:val="FootnoteReference"/>
        </w:rPr>
        <w:footnoteReference w:id="55"/>
      </w:r>
      <w:r w:rsidR="003F7291">
        <w:t xml:space="preserve">  By harnessing </w:t>
      </w:r>
      <w:r w:rsidR="00A35B38">
        <w:t>tide flows</w:t>
      </w:r>
      <w:r w:rsidR="003F7291">
        <w:t xml:space="preserve">, the turbine provides an almost endless supply of power.  </w:t>
      </w:r>
      <w:r w:rsidR="00356095">
        <w:t xml:space="preserve">Another company, WAVEnergy </w:t>
      </w:r>
      <w:r w:rsidR="00874FF9">
        <w:t>AS, is develop</w:t>
      </w:r>
      <w:r w:rsidR="000638E7">
        <w:t>ing a sea</w:t>
      </w:r>
      <w:r w:rsidR="000564EA">
        <w:t xml:space="preserve"> </w:t>
      </w:r>
      <w:r w:rsidR="005227B1">
        <w:t>wave slot cone</w:t>
      </w:r>
      <w:r w:rsidR="00874FF9">
        <w:t>.</w:t>
      </w:r>
      <w:r w:rsidR="00D933B5">
        <w:rPr>
          <w:rStyle w:val="FootnoteReference"/>
        </w:rPr>
        <w:footnoteReference w:id="56"/>
      </w:r>
      <w:r w:rsidR="00874FF9">
        <w:t xml:space="preserve">  This device use</w:t>
      </w:r>
      <w:r w:rsidR="00FE1E6D">
        <w:t>s</w:t>
      </w:r>
      <w:r w:rsidR="00874FF9">
        <w:t xml:space="preserve"> </w:t>
      </w:r>
      <w:r w:rsidR="00545D08">
        <w:t xml:space="preserve">the </w:t>
      </w:r>
      <w:r w:rsidR="00874FF9">
        <w:t xml:space="preserve">potential energy of waves </w:t>
      </w:r>
      <w:r w:rsidR="001342B2">
        <w:t xml:space="preserve">collected in a reservoir </w:t>
      </w:r>
      <w:r w:rsidR="00874FF9">
        <w:t>to turn a turbine.</w:t>
      </w:r>
      <w:r w:rsidR="00535FA0">
        <w:rPr>
          <w:rStyle w:val="FootnoteReference"/>
        </w:rPr>
        <w:footnoteReference w:id="57"/>
      </w:r>
      <w:r w:rsidR="00874FF9">
        <w:t xml:space="preserve">  </w:t>
      </w:r>
      <w:r w:rsidR="005239D1">
        <w:t>By diversifying the sources of hydroelectric</w:t>
      </w:r>
      <w:r w:rsidR="001C6521">
        <w:t>ity</w:t>
      </w:r>
      <w:r w:rsidR="005239D1">
        <w:t xml:space="preserve">, Norway </w:t>
      </w:r>
      <w:r w:rsidR="00A502B8">
        <w:t>lowers</w:t>
      </w:r>
      <w:r w:rsidR="005239D1">
        <w:t xml:space="preserve"> the </w:t>
      </w:r>
      <w:r w:rsidR="00A502B8">
        <w:t>impact</w:t>
      </w:r>
      <w:r w:rsidR="005239D1">
        <w:t xml:space="preserve"> of seasonally low rainfall that </w:t>
      </w:r>
      <w:r w:rsidR="00D65335">
        <w:t>plagues</w:t>
      </w:r>
      <w:r w:rsidR="005239D1">
        <w:t xml:space="preserve"> conventional hydroelectric production.  </w:t>
      </w:r>
    </w:p>
    <w:p w:rsidR="009B16C9" w:rsidRDefault="009B16C9" w:rsidP="00316814">
      <w:pPr>
        <w:spacing w:line="360" w:lineRule="auto"/>
        <w:contextualSpacing/>
      </w:pPr>
    </w:p>
    <w:p w:rsidR="009C7A8D" w:rsidRDefault="009B16C9" w:rsidP="009C7A8D">
      <w:pPr>
        <w:spacing w:line="360" w:lineRule="auto"/>
        <w:contextualSpacing/>
        <w:rPr>
          <w:u w:val="single"/>
        </w:rPr>
      </w:pPr>
      <w:r w:rsidRPr="009B16C9">
        <w:rPr>
          <w:u w:val="single"/>
        </w:rPr>
        <w:t>Nuclear</w:t>
      </w:r>
      <w:r w:rsidR="00F84EC7">
        <w:rPr>
          <w:u w:val="single"/>
        </w:rPr>
        <w:t xml:space="preserve"> Power</w:t>
      </w:r>
    </w:p>
    <w:p w:rsidR="009C7A8D" w:rsidRDefault="009C7A8D" w:rsidP="009C7A8D">
      <w:pPr>
        <w:spacing w:line="360" w:lineRule="auto"/>
        <w:contextualSpacing/>
        <w:rPr>
          <w:u w:val="single"/>
        </w:rPr>
      </w:pPr>
    </w:p>
    <w:p w:rsidR="00316814" w:rsidRPr="009C7A8D" w:rsidRDefault="00EE59F1" w:rsidP="009C7A8D">
      <w:pPr>
        <w:spacing w:line="360" w:lineRule="auto"/>
        <w:ind w:firstLine="720"/>
        <w:contextualSpacing/>
        <w:rPr>
          <w:u w:val="single"/>
        </w:rPr>
      </w:pPr>
      <w:r w:rsidRPr="00316814">
        <w:t xml:space="preserve">The Norwegian Ministry </w:t>
      </w:r>
      <w:r w:rsidR="00C60FD1">
        <w:t>of Petroleum and Energy has</w:t>
      </w:r>
      <w:r w:rsidRPr="00316814">
        <w:t xml:space="preserve"> been looking into </w:t>
      </w:r>
      <w:r w:rsidR="00362A56">
        <w:t>domestic</w:t>
      </w:r>
      <w:r w:rsidRPr="00316814">
        <w:t xml:space="preserve"> nuclear power.  </w:t>
      </w:r>
      <w:r w:rsidR="00ED1BCD" w:rsidRPr="00316814">
        <w:t xml:space="preserve">Norway </w:t>
      </w:r>
      <w:r w:rsidR="00C60FD1">
        <w:t>does have a few research reactors but</w:t>
      </w:r>
      <w:r w:rsidR="00C60FD1" w:rsidRPr="00316814">
        <w:t xml:space="preserve"> </w:t>
      </w:r>
      <w:r w:rsidR="00ED1BCD" w:rsidRPr="00316814">
        <w:t>does not have any commercial nuclear power plants</w:t>
      </w:r>
      <w:r w:rsidR="00FB344A" w:rsidRPr="00316814">
        <w:t xml:space="preserve"> as of 2009</w:t>
      </w:r>
      <w:r w:rsidR="00ED1BCD" w:rsidRPr="00316814">
        <w:t>.</w:t>
      </w:r>
      <w:r w:rsidR="001F4035">
        <w:rPr>
          <w:rStyle w:val="FootnoteReference"/>
        </w:rPr>
        <w:footnoteReference w:id="58"/>
      </w:r>
      <w:r w:rsidR="00ED1BCD" w:rsidRPr="00316814">
        <w:t xml:space="preserve">  </w:t>
      </w:r>
      <w:r w:rsidR="003154B1" w:rsidRPr="00316814">
        <w:t xml:space="preserve">In 2008, </w:t>
      </w:r>
      <w:r w:rsidR="005A07AB">
        <w:t>Norway</w:t>
      </w:r>
      <w:r w:rsidR="003154B1" w:rsidRPr="00316814">
        <w:t xml:space="preserve"> commissioned a report on Thorium as a potential source of clean nuclear energy.</w:t>
      </w:r>
      <w:r w:rsidR="001F4035">
        <w:rPr>
          <w:rStyle w:val="FootnoteReference"/>
        </w:rPr>
        <w:footnoteReference w:id="59"/>
      </w:r>
      <w:r w:rsidR="003154B1" w:rsidRPr="00316814">
        <w:t xml:space="preserve">  </w:t>
      </w:r>
      <w:r w:rsidR="008C4697" w:rsidRPr="00316814">
        <w:t>Thorium is thought to be a greener nuclear fuel because it produces only a fraction of the waste uranium reactors do.</w:t>
      </w:r>
      <w:r w:rsidR="008C4697">
        <w:rPr>
          <w:rStyle w:val="FootnoteReference"/>
        </w:rPr>
        <w:footnoteReference w:id="60"/>
      </w:r>
      <w:r w:rsidR="008C4697" w:rsidRPr="00316814">
        <w:t xml:space="preserve">  </w:t>
      </w:r>
      <w:r w:rsidR="00F439B3" w:rsidRPr="00316814">
        <w:t xml:space="preserve">While the committee found Thorium </w:t>
      </w:r>
      <w:r w:rsidR="00350F9D">
        <w:t>reactors</w:t>
      </w:r>
      <w:r w:rsidR="00F439B3" w:rsidRPr="00316814">
        <w:t xml:space="preserve"> may be viable in the future, it concluded that much more research </w:t>
      </w:r>
      <w:r w:rsidR="00DD2224">
        <w:t>is</w:t>
      </w:r>
      <w:r w:rsidR="00F439B3" w:rsidRPr="00316814">
        <w:t xml:space="preserve"> required.</w:t>
      </w:r>
      <w:r w:rsidR="00326E13">
        <w:rPr>
          <w:rStyle w:val="FootnoteReference"/>
        </w:rPr>
        <w:footnoteReference w:id="61"/>
      </w:r>
      <w:r w:rsidR="00F439B3" w:rsidRPr="00316814">
        <w:t xml:space="preserve">  </w:t>
      </w:r>
    </w:p>
    <w:p w:rsidR="006A30C8" w:rsidRDefault="006A30C8" w:rsidP="00316814">
      <w:pPr>
        <w:spacing w:line="360" w:lineRule="auto"/>
        <w:contextualSpacing/>
      </w:pPr>
    </w:p>
    <w:p w:rsidR="006F15D0" w:rsidRPr="00F84EC7" w:rsidRDefault="006F15D0" w:rsidP="00316814">
      <w:pPr>
        <w:spacing w:line="360" w:lineRule="auto"/>
        <w:contextualSpacing/>
        <w:rPr>
          <w:u w:val="single"/>
        </w:rPr>
      </w:pPr>
      <w:r w:rsidRPr="00F84EC7">
        <w:rPr>
          <w:u w:val="single"/>
        </w:rPr>
        <w:t>Solar</w:t>
      </w:r>
      <w:r w:rsidR="00F84EC7">
        <w:rPr>
          <w:u w:val="single"/>
        </w:rPr>
        <w:t xml:space="preserve"> Power</w:t>
      </w:r>
    </w:p>
    <w:p w:rsidR="006F15D0" w:rsidRDefault="006F15D0" w:rsidP="00316814">
      <w:pPr>
        <w:spacing w:line="360" w:lineRule="auto"/>
        <w:contextualSpacing/>
      </w:pPr>
    </w:p>
    <w:p w:rsidR="006F15D0" w:rsidRDefault="00960C60" w:rsidP="00316814">
      <w:pPr>
        <w:spacing w:line="360" w:lineRule="auto"/>
        <w:contextualSpacing/>
      </w:pPr>
      <w:r>
        <w:tab/>
      </w:r>
      <w:r w:rsidR="00F84EC7">
        <w:t>While Norway receive</w:t>
      </w:r>
      <w:r w:rsidR="004A205E">
        <w:t>s</w:t>
      </w:r>
      <w:r w:rsidR="00F84EC7">
        <w:t xml:space="preserve"> </w:t>
      </w:r>
      <w:r w:rsidR="004A205E">
        <w:t>relatively little</w:t>
      </w:r>
      <w:r w:rsidR="00F84EC7">
        <w:t xml:space="preserve"> sun, this has not deterred the country from pursuing s</w:t>
      </w:r>
      <w:r w:rsidR="0063588E">
        <w:t>olar power as a</w:t>
      </w:r>
      <w:r w:rsidR="00E60224">
        <w:t>n energy</w:t>
      </w:r>
      <w:r w:rsidR="0063588E">
        <w:t xml:space="preserve"> source</w:t>
      </w:r>
      <w:r w:rsidR="00F84EC7">
        <w:t xml:space="preserve">.  </w:t>
      </w:r>
      <w:r w:rsidR="00BB0A8F">
        <w:t xml:space="preserve">The Norwegian University of Science and Technology has been researching </w:t>
      </w:r>
      <w:r w:rsidR="006B5554">
        <w:t xml:space="preserve">new </w:t>
      </w:r>
      <w:r w:rsidR="00BB0A8F">
        <w:t xml:space="preserve">quantum dot technology </w:t>
      </w:r>
      <w:r w:rsidR="002F4025">
        <w:t>capable of</w:t>
      </w:r>
      <w:r w:rsidR="00BB0A8F">
        <w:t xml:space="preserve"> absorb</w:t>
      </w:r>
      <w:r w:rsidR="002F4025">
        <w:t>ing</w:t>
      </w:r>
      <w:r w:rsidR="00BB0A8F">
        <w:t xml:space="preserve"> solar energy </w:t>
      </w:r>
      <w:r w:rsidR="002F4025">
        <w:lastRenderedPageBreak/>
        <w:t>in</w:t>
      </w:r>
      <w:r w:rsidR="00BB0A8F">
        <w:t>to the infrared spectrum.</w:t>
      </w:r>
      <w:r w:rsidR="00BC4C20">
        <w:rPr>
          <w:rStyle w:val="FootnoteReference"/>
        </w:rPr>
        <w:footnoteReference w:id="62"/>
      </w:r>
      <w:r w:rsidR="00922433">
        <w:t xml:space="preserve">  Quantum dot technology</w:t>
      </w:r>
      <w:r w:rsidR="00BB0A8F">
        <w:t xml:space="preserve"> could theoretically increase effic</w:t>
      </w:r>
      <w:r w:rsidR="00267E6F">
        <w:t>iency of the cells up to 60%, a threefold</w:t>
      </w:r>
      <w:r w:rsidR="00BB0A8F">
        <w:t xml:space="preserve"> increase over conventional cells.</w:t>
      </w:r>
      <w:r w:rsidR="00BC4C20">
        <w:rPr>
          <w:rStyle w:val="FootnoteReference"/>
        </w:rPr>
        <w:footnoteReference w:id="63"/>
      </w:r>
      <w:r w:rsidR="00BB0A8F">
        <w:t xml:space="preserve">  </w:t>
      </w:r>
      <w:r w:rsidR="00267E6F">
        <w:t>I</w:t>
      </w:r>
      <w:r w:rsidR="001B6E40">
        <w:t xml:space="preserve">t is important to note that solar power would </w:t>
      </w:r>
      <w:r w:rsidR="009250F3">
        <w:t>only</w:t>
      </w:r>
      <w:r w:rsidR="001B6E40">
        <w:t xml:space="preserve"> be able to produce a </w:t>
      </w:r>
      <w:r w:rsidR="00A622B2">
        <w:t xml:space="preserve">small </w:t>
      </w:r>
      <w:r w:rsidR="001B6E40">
        <w:t xml:space="preserve">percentage of electricity </w:t>
      </w:r>
      <w:r w:rsidR="00267E6F">
        <w:t>in</w:t>
      </w:r>
      <w:r w:rsidR="001B6E40">
        <w:t xml:space="preserve"> Norway due to its dependence on sunlight and availability of space for collection</w:t>
      </w:r>
      <w:r w:rsidR="00D86B21">
        <w:t xml:space="preserve"> </w:t>
      </w:r>
      <w:r w:rsidR="004B60FB">
        <w:t>which are</w:t>
      </w:r>
      <w:r w:rsidR="00D86B21">
        <w:t xml:space="preserve"> </w:t>
      </w:r>
      <w:r w:rsidR="00AC1624">
        <w:t xml:space="preserve">both </w:t>
      </w:r>
      <w:r w:rsidR="006C20EB">
        <w:t>scarce</w:t>
      </w:r>
      <w:r w:rsidR="00EF02C4">
        <w:t xml:space="preserve"> in the </w:t>
      </w:r>
      <w:r w:rsidR="003A74FF">
        <w:t xml:space="preserve">Nordic </w:t>
      </w:r>
      <w:r w:rsidR="00EF02C4">
        <w:t>country</w:t>
      </w:r>
      <w:r w:rsidR="001B6E40">
        <w:t>.</w:t>
      </w:r>
      <w:r w:rsidR="00BC4C20">
        <w:rPr>
          <w:rStyle w:val="FootnoteReference"/>
        </w:rPr>
        <w:footnoteReference w:id="64"/>
      </w:r>
      <w:r w:rsidR="001B6E40">
        <w:t xml:space="preserve">  </w:t>
      </w:r>
    </w:p>
    <w:p w:rsidR="006F15D0" w:rsidRDefault="006F15D0" w:rsidP="00316814">
      <w:pPr>
        <w:spacing w:line="360" w:lineRule="auto"/>
        <w:contextualSpacing/>
      </w:pPr>
    </w:p>
    <w:p w:rsidR="00984991" w:rsidRPr="00C42530" w:rsidRDefault="006A30C8" w:rsidP="00316814">
      <w:pPr>
        <w:spacing w:line="360" w:lineRule="auto"/>
        <w:contextualSpacing/>
        <w:rPr>
          <w:u w:val="single"/>
        </w:rPr>
      </w:pPr>
      <w:r w:rsidRPr="00C42530">
        <w:rPr>
          <w:u w:val="single"/>
        </w:rPr>
        <w:t>Wind</w:t>
      </w:r>
      <w:r w:rsidR="00F84EC7" w:rsidRPr="00C42530">
        <w:rPr>
          <w:u w:val="single"/>
        </w:rPr>
        <w:t xml:space="preserve"> Power</w:t>
      </w:r>
    </w:p>
    <w:p w:rsidR="006A30C8" w:rsidRDefault="006A30C8" w:rsidP="00316814">
      <w:pPr>
        <w:spacing w:line="360" w:lineRule="auto"/>
        <w:contextualSpacing/>
      </w:pPr>
    </w:p>
    <w:p w:rsidR="00DB79D6" w:rsidRDefault="005D7844" w:rsidP="00316814">
      <w:pPr>
        <w:spacing w:line="360" w:lineRule="auto"/>
        <w:contextualSpacing/>
      </w:pPr>
      <w:r>
        <w:tab/>
        <w:t>The technology with the greatest</w:t>
      </w:r>
      <w:r w:rsidR="00FF7AE8">
        <w:t xml:space="preserve"> potential for</w:t>
      </w:r>
      <w:r w:rsidR="00E3557A">
        <w:t xml:space="preserve"> </w:t>
      </w:r>
      <w:r w:rsidR="00177A59">
        <w:t xml:space="preserve">Norwegian </w:t>
      </w:r>
      <w:r>
        <w:t>exp</w:t>
      </w:r>
      <w:r w:rsidR="00160A28">
        <w:t>l</w:t>
      </w:r>
      <w:r>
        <w:t>oitation</w:t>
      </w:r>
      <w:r w:rsidR="00E3557A">
        <w:t xml:space="preserve"> is wind power.  </w:t>
      </w:r>
      <w:r w:rsidR="00C734B6">
        <w:t xml:space="preserve">Norway’s Oil and Energy Minister Aaslaug Haga </w:t>
      </w:r>
      <w:r w:rsidR="00096E69">
        <w:t>believes,</w:t>
      </w:r>
      <w:r w:rsidR="00C734B6">
        <w:t xml:space="preserve"> “Norwa</w:t>
      </w:r>
      <w:r w:rsidR="00B06980">
        <w:t>y could become Europe's battery,</w:t>
      </w:r>
      <w:r w:rsidR="00096E69">
        <w:t>”</w:t>
      </w:r>
      <w:r w:rsidR="00B06980">
        <w:t xml:space="preserve"> by harnessing </w:t>
      </w:r>
      <w:r w:rsidR="00600560">
        <w:t>its</w:t>
      </w:r>
      <w:r w:rsidR="00B06980">
        <w:t xml:space="preserve"> enormous potential for wind energy production.</w:t>
      </w:r>
      <w:r w:rsidR="001E342D">
        <w:rPr>
          <w:rStyle w:val="FootnoteReference"/>
        </w:rPr>
        <w:footnoteReference w:id="65"/>
      </w:r>
      <w:r w:rsidR="00C734B6">
        <w:t xml:space="preserve">  </w:t>
      </w:r>
      <w:r w:rsidR="00CB5982">
        <w:t>The Norwegian government</w:t>
      </w:r>
      <w:r w:rsidR="00E41433">
        <w:t xml:space="preserve"> set a target of 3 TWh of wind </w:t>
      </w:r>
      <w:r w:rsidR="001B74F5">
        <w:t>power generati</w:t>
      </w:r>
      <w:r w:rsidR="00115620">
        <w:t>on by 2010</w:t>
      </w:r>
      <w:r w:rsidR="00FB75C7">
        <w:t>.</w:t>
      </w:r>
      <w:r w:rsidR="00FB75C7">
        <w:rPr>
          <w:rStyle w:val="FootnoteReference"/>
        </w:rPr>
        <w:footnoteReference w:id="66"/>
      </w:r>
      <w:r w:rsidR="001B74F5">
        <w:t xml:space="preserve">  </w:t>
      </w:r>
      <w:r w:rsidR="00FF208E">
        <w:t>In pursuing this goa</w:t>
      </w:r>
      <w:r w:rsidR="006C5BF6">
        <w:t>l, Norway will develop both off</w:t>
      </w:r>
      <w:r w:rsidR="00FF208E">
        <w:t>shore and land based wind turbines.</w:t>
      </w:r>
      <w:r w:rsidR="00FB75C7">
        <w:rPr>
          <w:rStyle w:val="FootnoteReference"/>
        </w:rPr>
        <w:footnoteReference w:id="67"/>
      </w:r>
      <w:r w:rsidR="00FF208E">
        <w:t xml:space="preserve">  </w:t>
      </w:r>
    </w:p>
    <w:p w:rsidR="00E71067" w:rsidRDefault="00FF208E" w:rsidP="00316814">
      <w:pPr>
        <w:spacing w:line="360" w:lineRule="auto"/>
        <w:contextualSpacing/>
      </w:pPr>
      <w:r>
        <w:tab/>
      </w:r>
      <w:r w:rsidR="00C34980">
        <w:t xml:space="preserve">Norwegian government and industry are spending the majority of their </w:t>
      </w:r>
      <w:r w:rsidR="005C47FF">
        <w:t>research</w:t>
      </w:r>
      <w:r w:rsidR="00C34980">
        <w:t xml:space="preserve"> money</w:t>
      </w:r>
      <w:r w:rsidR="002974FD">
        <w:t xml:space="preserve"> </w:t>
      </w:r>
      <w:r w:rsidR="00C34980">
        <w:t xml:space="preserve">on offshore windmills.  </w:t>
      </w:r>
      <w:r w:rsidR="002974FD">
        <w:t>“Norway’s long, crenulated coastline makes an ideal location for harvesting the strong winds that can blow off the North Atlantic.”</w:t>
      </w:r>
      <w:r w:rsidR="00FB75C7">
        <w:rPr>
          <w:rStyle w:val="FootnoteReference"/>
        </w:rPr>
        <w:footnoteReference w:id="68"/>
      </w:r>
      <w:r w:rsidR="002974FD">
        <w:t xml:space="preserve">  </w:t>
      </w:r>
      <w:r w:rsidR="008303AE">
        <w:t>John Olav</w:t>
      </w:r>
      <w:r w:rsidR="00E418A3">
        <w:t xml:space="preserve"> Tande, a</w:t>
      </w:r>
      <w:r w:rsidR="008303AE">
        <w:t xml:space="preserve"> scientist with </w:t>
      </w:r>
      <w:r w:rsidR="00ED4822">
        <w:t>Norway’s</w:t>
      </w:r>
      <w:r w:rsidR="008303AE">
        <w:t xml:space="preserve"> research</w:t>
      </w:r>
      <w:r w:rsidR="000B3248">
        <w:t xml:space="preserve"> institute SINTEF, believes</w:t>
      </w:r>
      <w:r w:rsidR="0068014E">
        <w:t xml:space="preserve"> Norwegian </w:t>
      </w:r>
      <w:r w:rsidR="00BF2C23">
        <w:t>offshore mills</w:t>
      </w:r>
      <w:r w:rsidR="0068014E">
        <w:t xml:space="preserve"> could produce</w:t>
      </w:r>
      <w:r w:rsidR="008303AE">
        <w:t xml:space="preserve"> 14,000 TWh/year, which would allow </w:t>
      </w:r>
      <w:r w:rsidR="00A35519">
        <w:t>Norway</w:t>
      </w:r>
      <w:r w:rsidR="008303AE">
        <w:t xml:space="preserve"> to export </w:t>
      </w:r>
      <w:r w:rsidR="00D87CF5">
        <w:t>energy to other nations.</w:t>
      </w:r>
      <w:r w:rsidR="00FB75C7">
        <w:rPr>
          <w:rStyle w:val="FootnoteReference"/>
        </w:rPr>
        <w:footnoteReference w:id="69"/>
      </w:r>
      <w:r w:rsidR="00D87CF5">
        <w:t xml:space="preserve">  </w:t>
      </w:r>
      <w:r w:rsidR="0005217A">
        <w:t xml:space="preserve">Research is being done to develop turbines fixed to the ocean floor and </w:t>
      </w:r>
      <w:r w:rsidR="009172D5">
        <w:t>others</w:t>
      </w:r>
      <w:r w:rsidR="0005217A">
        <w:t xml:space="preserve"> that float on the ocean surface.</w:t>
      </w:r>
      <w:r w:rsidR="00FB75C7">
        <w:rPr>
          <w:rStyle w:val="FootnoteReference"/>
        </w:rPr>
        <w:footnoteReference w:id="70"/>
      </w:r>
      <w:r w:rsidR="0005217A">
        <w:t xml:space="preserve">  </w:t>
      </w:r>
    </w:p>
    <w:p w:rsidR="008303AE" w:rsidRDefault="00E71067" w:rsidP="00E71067">
      <w:pPr>
        <w:spacing w:line="360" w:lineRule="auto"/>
        <w:ind w:firstLine="720"/>
        <w:contextualSpacing/>
      </w:pPr>
      <w:r>
        <w:t xml:space="preserve">Many companies are interested in wind energy.  </w:t>
      </w:r>
      <w:r w:rsidR="009301EE">
        <w:t>T</w:t>
      </w:r>
      <w:r w:rsidR="00082C10">
        <w:t>he POWER cluster</w:t>
      </w:r>
      <w:r w:rsidR="00E35C45">
        <w:t xml:space="preserve"> </w:t>
      </w:r>
      <w:r w:rsidR="00FE6932">
        <w:t xml:space="preserve">energy consortium </w:t>
      </w:r>
      <w:r w:rsidR="00082C10">
        <w:t>is aimed at developing a broad approach to wind energy in the North Sea.</w:t>
      </w:r>
      <w:r w:rsidR="00CB0DC9">
        <w:rPr>
          <w:rStyle w:val="FootnoteReference"/>
        </w:rPr>
        <w:footnoteReference w:id="71"/>
      </w:r>
      <w:r w:rsidR="00082C10">
        <w:t xml:space="preserve">  </w:t>
      </w:r>
      <w:r w:rsidR="0066720E">
        <w:t xml:space="preserve">The Norwegian Centre for Offshore Wind Energy, NORCOWE, was created </w:t>
      </w:r>
      <w:r w:rsidR="00DE5CF3">
        <w:t xml:space="preserve">with the help of the University of </w:t>
      </w:r>
      <w:r w:rsidR="00DE5CF3">
        <w:lastRenderedPageBreak/>
        <w:t xml:space="preserve">Stavanger </w:t>
      </w:r>
      <w:r w:rsidR="00A43259">
        <w:t>to streamline</w:t>
      </w:r>
      <w:r w:rsidR="0066720E">
        <w:t xml:space="preserve"> research and implementation of offshore windfarms.</w:t>
      </w:r>
      <w:r w:rsidR="00CB0DC9">
        <w:rPr>
          <w:rStyle w:val="FootnoteReference"/>
        </w:rPr>
        <w:footnoteReference w:id="72"/>
      </w:r>
      <w:r w:rsidR="0066720E">
        <w:t xml:space="preserve">  </w:t>
      </w:r>
      <w:r w:rsidR="00D753F4">
        <w:t xml:space="preserve">ScanWind, which builds large </w:t>
      </w:r>
      <w:r w:rsidR="000936A7">
        <w:t>wind turbines in Norway, was acquired by GE Ene</w:t>
      </w:r>
      <w:r w:rsidR="00E41433">
        <w:t>rgy in</w:t>
      </w:r>
      <w:r w:rsidR="00010D16">
        <w:t xml:space="preserve"> September</w:t>
      </w:r>
      <w:r w:rsidR="000936A7">
        <w:t xml:space="preserve"> 2009</w:t>
      </w:r>
      <w:r w:rsidR="00BA4935">
        <w:t>, and GE plans to enhance their development of offshore wind turbines</w:t>
      </w:r>
      <w:r w:rsidR="000936A7">
        <w:t>.</w:t>
      </w:r>
      <w:r w:rsidR="00B52FD7">
        <w:rPr>
          <w:rStyle w:val="FootnoteReference"/>
        </w:rPr>
        <w:footnoteReference w:id="73"/>
      </w:r>
      <w:r w:rsidR="000936A7">
        <w:t xml:space="preserve">  </w:t>
      </w:r>
    </w:p>
    <w:p w:rsidR="00FE02CD" w:rsidRDefault="007D496D" w:rsidP="00FF355A">
      <w:pPr>
        <w:spacing w:line="360" w:lineRule="auto"/>
        <w:ind w:firstLine="720"/>
        <w:contextualSpacing/>
      </w:pPr>
      <w:r>
        <w:t>O</w:t>
      </w:r>
      <w:r w:rsidR="007D1DB4">
        <w:t>ffshore windmills are so promising that oil companies such a</w:t>
      </w:r>
      <w:r w:rsidR="00B55479">
        <w:t>s StatO</w:t>
      </w:r>
      <w:r w:rsidR="000C30A0">
        <w:t>ilHydro are getting into</w:t>
      </w:r>
      <w:r w:rsidR="007D1DB4">
        <w:t xml:space="preserve"> the act as well.</w:t>
      </w:r>
      <w:r w:rsidR="00107D2F">
        <w:rPr>
          <w:rStyle w:val="FootnoteReference"/>
        </w:rPr>
        <w:footnoteReference w:id="74"/>
      </w:r>
      <w:r w:rsidR="007D1DB4">
        <w:t xml:space="preserve">  </w:t>
      </w:r>
      <w:r w:rsidR="00B55479">
        <w:t>StatO</w:t>
      </w:r>
      <w:r w:rsidR="007475FC">
        <w:t xml:space="preserve">ilHydro created HyWind, </w:t>
      </w:r>
      <w:r w:rsidR="000C30A0">
        <w:t>the world’s first full</w:t>
      </w:r>
      <w:r w:rsidR="002D2C72">
        <w:t xml:space="preserve"> </w:t>
      </w:r>
      <w:r w:rsidR="007475FC">
        <w:t>scale floating wind turbine</w:t>
      </w:r>
      <w:r w:rsidR="00DD0E23">
        <w:t>, 10 km off the coast of southwest Norway</w:t>
      </w:r>
      <w:r w:rsidR="007475FC">
        <w:t>.</w:t>
      </w:r>
      <w:r w:rsidR="008B11BB">
        <w:rPr>
          <w:rStyle w:val="FootnoteReference"/>
        </w:rPr>
        <w:footnoteReference w:id="75"/>
      </w:r>
      <w:r w:rsidR="007475FC">
        <w:t xml:space="preserve">  </w:t>
      </w:r>
      <w:r>
        <w:t>HyWind</w:t>
      </w:r>
      <w:r w:rsidR="00FE02CD">
        <w:t>, a 2.3 MW turbine,</w:t>
      </w:r>
      <w:r w:rsidR="00A805B1">
        <w:t xml:space="preserve"> was put online</w:t>
      </w:r>
      <w:r w:rsidR="00D84449">
        <w:t xml:space="preserve"> </w:t>
      </w:r>
      <w:r w:rsidR="00A01983">
        <w:t xml:space="preserve">in </w:t>
      </w:r>
      <w:r w:rsidR="00D84449">
        <w:t>September</w:t>
      </w:r>
      <w:r w:rsidR="00164BE1">
        <w:t xml:space="preserve"> 2009 and </w:t>
      </w:r>
      <w:r w:rsidR="00FC025E">
        <w:t>is</w:t>
      </w:r>
      <w:r w:rsidR="00164BE1">
        <w:t xml:space="preserve"> the first step </w:t>
      </w:r>
      <w:r w:rsidR="00164BE1" w:rsidRPr="00F86550">
        <w:t>toward,</w:t>
      </w:r>
      <w:r w:rsidR="00164BE1" w:rsidRPr="00F86550">
        <w:rPr>
          <w:b/>
        </w:rPr>
        <w:t xml:space="preserve"> “</w:t>
      </w:r>
      <w:r w:rsidR="00164BE1" w:rsidRPr="00F86550">
        <w:rPr>
          <w:rStyle w:val="Strong"/>
          <w:b w:val="0"/>
        </w:rPr>
        <w:t>creating a new Norwegian energy industry at sea</w:t>
      </w:r>
      <w:r w:rsidR="0061517C">
        <w:rPr>
          <w:b/>
        </w:rPr>
        <w:t>.”</w:t>
      </w:r>
      <w:r w:rsidR="00341523" w:rsidRPr="007C0875">
        <w:rPr>
          <w:rStyle w:val="FootnoteReference"/>
        </w:rPr>
        <w:footnoteReference w:id="76"/>
      </w:r>
      <w:r w:rsidR="00164BE1">
        <w:t xml:space="preserve">  </w:t>
      </w:r>
    </w:p>
    <w:p w:rsidR="002974FD" w:rsidRDefault="00B91E4F" w:rsidP="00FF355A">
      <w:pPr>
        <w:spacing w:line="360" w:lineRule="auto"/>
        <w:ind w:firstLine="720"/>
        <w:contextualSpacing/>
      </w:pPr>
      <w:r>
        <w:t xml:space="preserve">While offshore wind farms located close to shore allow easy transportation, wind speeds are consistently higher in the deep ocean and allow 20-30% greater efficiency in </w:t>
      </w:r>
      <w:r w:rsidR="00A01983">
        <w:t xml:space="preserve">energy </w:t>
      </w:r>
      <w:r>
        <w:t>collection.</w:t>
      </w:r>
      <w:r w:rsidR="00341523">
        <w:rPr>
          <w:rStyle w:val="FootnoteReference"/>
        </w:rPr>
        <w:footnoteReference w:id="77"/>
      </w:r>
      <w:r>
        <w:t xml:space="preserve">  For this reason, SWAY, a Norwegian company, has created a floating tower extending below the ocean surface and anchored by a cable.</w:t>
      </w:r>
      <w:r w:rsidR="00341523">
        <w:rPr>
          <w:rStyle w:val="FootnoteReference"/>
        </w:rPr>
        <w:footnoteReference w:id="78"/>
      </w:r>
      <w:r>
        <w:t xml:space="preserve">  </w:t>
      </w:r>
      <w:r w:rsidR="00FF355A">
        <w:t>This type of technology could be used</w:t>
      </w:r>
      <w:r w:rsidR="002974FD">
        <w:t xml:space="preserve"> to power oil pl</w:t>
      </w:r>
      <w:r w:rsidR="00FF355A">
        <w:t>atforms a</w:t>
      </w:r>
      <w:r w:rsidR="0077362F">
        <w:t>nd eventually turn the platforms themselves</w:t>
      </w:r>
      <w:r w:rsidR="002974FD">
        <w:t xml:space="preserve"> into wind farms </w:t>
      </w:r>
      <w:r w:rsidR="00F756E4">
        <w:t>when the oil and gas is depleted</w:t>
      </w:r>
      <w:r w:rsidR="002974FD">
        <w:t>.</w:t>
      </w:r>
      <w:r w:rsidR="00424BF2">
        <w:rPr>
          <w:rStyle w:val="FootnoteReference"/>
        </w:rPr>
        <w:footnoteReference w:id="79"/>
      </w:r>
      <w:r w:rsidR="002974FD">
        <w:t xml:space="preserve">  </w:t>
      </w:r>
    </w:p>
    <w:p w:rsidR="001D6CB9" w:rsidRDefault="001D6CB9" w:rsidP="00316814">
      <w:pPr>
        <w:spacing w:line="360" w:lineRule="auto"/>
        <w:contextualSpacing/>
      </w:pPr>
      <w:r>
        <w:tab/>
      </w:r>
      <w:r w:rsidR="00130E6A">
        <w:t>Onshore</w:t>
      </w:r>
      <w:r>
        <w:t xml:space="preserve"> mills are also a viable option.  </w:t>
      </w:r>
      <w:r w:rsidR="000E74B9">
        <w:t xml:space="preserve">John Olav </w:t>
      </w:r>
      <w:r w:rsidR="008303AE">
        <w:t xml:space="preserve">Tande </w:t>
      </w:r>
      <w:r>
        <w:t xml:space="preserve">believes Norwegian </w:t>
      </w:r>
      <w:r w:rsidR="001C0470">
        <w:t>onshore</w:t>
      </w:r>
      <w:r w:rsidR="00FF1B69">
        <w:t xml:space="preserve"> windmills could generate</w:t>
      </w:r>
      <w:r w:rsidR="002D7F8A">
        <w:t xml:space="preserve"> 1000 TWh/year</w:t>
      </w:r>
      <w:r>
        <w:t>, which would be over five times Norway’s energy consumption.</w:t>
      </w:r>
      <w:r w:rsidR="00713BB4">
        <w:rPr>
          <w:rStyle w:val="FootnoteReference"/>
        </w:rPr>
        <w:footnoteReference w:id="80"/>
      </w:r>
      <w:r>
        <w:t xml:space="preserve">  </w:t>
      </w:r>
      <w:r w:rsidR="00A14FD7">
        <w:t>SINTEF estimates that approximately 1000 MW of wind capacity could be added by 2010 to achieve Norway’s 3 TWh/year</w:t>
      </w:r>
      <w:r w:rsidR="001B2E08">
        <w:t xml:space="preserve"> goal</w:t>
      </w:r>
      <w:r w:rsidR="00A14FD7">
        <w:t>.</w:t>
      </w:r>
      <w:r w:rsidR="00CD384A">
        <w:rPr>
          <w:rStyle w:val="FootnoteReference"/>
        </w:rPr>
        <w:footnoteReference w:id="81"/>
      </w:r>
      <w:r w:rsidR="00A14FD7">
        <w:t xml:space="preserve">  </w:t>
      </w:r>
    </w:p>
    <w:p w:rsidR="00BC27E0" w:rsidRDefault="00BC27E0" w:rsidP="00316814">
      <w:pPr>
        <w:spacing w:line="360" w:lineRule="auto"/>
        <w:contextualSpacing/>
      </w:pPr>
      <w:r>
        <w:tab/>
        <w:t xml:space="preserve">A major drawback of wind energy, like other renewable sources, is the </w:t>
      </w:r>
      <w:r w:rsidR="00EE2584">
        <w:t>upfront capital cost</w:t>
      </w:r>
      <w:r>
        <w:t xml:space="preserve">.  </w:t>
      </w:r>
      <w:r w:rsidR="00DC2B5F">
        <w:t>In response, t</w:t>
      </w:r>
      <w:r>
        <w:t xml:space="preserve">he Norwegian government created subsidies to offset </w:t>
      </w:r>
      <w:r w:rsidR="006E6E44">
        <w:t xml:space="preserve">initial </w:t>
      </w:r>
      <w:r w:rsidR="00B844BF">
        <w:t>costs up to 25%.</w:t>
      </w:r>
      <w:r w:rsidR="006A6551">
        <w:rPr>
          <w:rStyle w:val="FootnoteReference"/>
        </w:rPr>
        <w:footnoteReference w:id="82"/>
      </w:r>
      <w:r w:rsidR="00B844BF">
        <w:t xml:space="preserve">  </w:t>
      </w:r>
      <w:r w:rsidR="00141F24">
        <w:t>Furthermore</w:t>
      </w:r>
      <w:r>
        <w:t xml:space="preserve">, wind </w:t>
      </w:r>
      <w:r w:rsidR="00846163">
        <w:t>projects</w:t>
      </w:r>
      <w:r w:rsidR="00F32B22">
        <w:t xml:space="preserve"> are exempt from</w:t>
      </w:r>
      <w:r>
        <w:t xml:space="preserve"> investment tax and 50% of the ene</w:t>
      </w:r>
      <w:r w:rsidR="00041A06">
        <w:t xml:space="preserve">rgy </w:t>
      </w:r>
      <w:r w:rsidR="00041A06">
        <w:lastRenderedPageBreak/>
        <w:t>production tax.</w:t>
      </w:r>
      <w:r w:rsidR="006A6551">
        <w:rPr>
          <w:rStyle w:val="FootnoteReference"/>
        </w:rPr>
        <w:footnoteReference w:id="83"/>
      </w:r>
      <w:r w:rsidR="00041A06">
        <w:t xml:space="preserve">  </w:t>
      </w:r>
      <w:r w:rsidR="009F70C3">
        <w:t>A</w:t>
      </w:r>
      <w:r w:rsidR="00377737">
        <w:t xml:space="preserve"> practical</w:t>
      </w:r>
      <w:r w:rsidR="009F70C3">
        <w:t xml:space="preserve"> hurdle </w:t>
      </w:r>
      <w:r w:rsidR="006E6E44">
        <w:t xml:space="preserve">remains: </w:t>
      </w:r>
      <w:r w:rsidR="009F70C3">
        <w:t xml:space="preserve">wind farms only produce energy when the wind is blowing.  </w:t>
      </w:r>
      <w:r w:rsidR="001700CC">
        <w:t>However, b</w:t>
      </w:r>
      <w:r w:rsidR="009F70C3">
        <w:t xml:space="preserve">y integrating wind power generation with other </w:t>
      </w:r>
      <w:r w:rsidR="00DF63BB">
        <w:t xml:space="preserve">energy </w:t>
      </w:r>
      <w:r w:rsidR="009F70C3">
        <w:t xml:space="preserve">sources and constructing </w:t>
      </w:r>
      <w:r w:rsidR="00537AAC">
        <w:t>wind farms in varying</w:t>
      </w:r>
      <w:r w:rsidR="009F70C3">
        <w:t xml:space="preserve"> places around the count</w:t>
      </w:r>
      <w:r w:rsidR="001700CC">
        <w:t>ry, Norway can become a renewable</w:t>
      </w:r>
      <w:r w:rsidR="009F70C3">
        <w:t xml:space="preserve"> energy exporter while securing her own energy future.  </w:t>
      </w:r>
    </w:p>
    <w:p w:rsidR="00DB79D6" w:rsidRDefault="00DB79D6" w:rsidP="00316814">
      <w:pPr>
        <w:spacing w:line="360" w:lineRule="auto"/>
        <w:contextualSpacing/>
      </w:pPr>
    </w:p>
    <w:p w:rsidR="006A30C8" w:rsidRPr="00D9089C" w:rsidRDefault="00D9089C" w:rsidP="00316814">
      <w:pPr>
        <w:spacing w:line="360" w:lineRule="auto"/>
        <w:contextualSpacing/>
        <w:rPr>
          <w:u w:val="single"/>
        </w:rPr>
      </w:pPr>
      <w:r>
        <w:rPr>
          <w:u w:val="single"/>
        </w:rPr>
        <w:t>Hydrogen Based Transportation</w:t>
      </w:r>
    </w:p>
    <w:p w:rsidR="006A30C8" w:rsidRDefault="006A30C8" w:rsidP="00316814">
      <w:pPr>
        <w:spacing w:line="360" w:lineRule="auto"/>
        <w:contextualSpacing/>
      </w:pPr>
    </w:p>
    <w:p w:rsidR="00717EEC" w:rsidRDefault="007925DF" w:rsidP="00316814">
      <w:pPr>
        <w:spacing w:line="360" w:lineRule="auto"/>
        <w:contextualSpacing/>
      </w:pPr>
      <w:r>
        <w:tab/>
        <w:t xml:space="preserve">Norway has set itself up to be a leader in alternative fuels through government sponsored research into </w:t>
      </w:r>
      <w:r w:rsidR="00961279">
        <w:t xml:space="preserve">efficient </w:t>
      </w:r>
      <w:r>
        <w:t>hydrogen</w:t>
      </w:r>
      <w:r w:rsidR="00E83DF3">
        <w:t>-</w:t>
      </w:r>
      <w:r w:rsidR="00275AD9">
        <w:t>based t</w:t>
      </w:r>
      <w:r w:rsidR="00B73B42">
        <w:t>ransportation</w:t>
      </w:r>
      <w:r w:rsidR="00275AD9">
        <w:t xml:space="preserve">.  </w:t>
      </w:r>
      <w:r w:rsidR="00E37690">
        <w:t>T</w:t>
      </w:r>
      <w:r w:rsidR="00E4128D">
        <w:t xml:space="preserve">he </w:t>
      </w:r>
      <w:r w:rsidR="00E37690">
        <w:t xml:space="preserve">Norwegian </w:t>
      </w:r>
      <w:r w:rsidR="00E4128D">
        <w:t xml:space="preserve">government has been working with industry </w:t>
      </w:r>
      <w:r w:rsidR="009C4F35">
        <w:t>since 200</w:t>
      </w:r>
      <w:r w:rsidR="00A566EF">
        <w:t>4</w:t>
      </w:r>
      <w:r w:rsidR="009C4F35">
        <w:t xml:space="preserve"> </w:t>
      </w:r>
      <w:r w:rsidR="00E4128D">
        <w:t xml:space="preserve">to </w:t>
      </w:r>
      <w:r w:rsidR="000A09DF">
        <w:t xml:space="preserve">design and </w:t>
      </w:r>
      <w:r w:rsidR="00E4128D">
        <w:t xml:space="preserve">build </w:t>
      </w:r>
      <w:r w:rsidR="00717EEC">
        <w:t xml:space="preserve">HyNor, </w:t>
      </w:r>
      <w:r w:rsidR="00E4128D">
        <w:t>the world’s largest hydrogen corridor</w:t>
      </w:r>
      <w:r w:rsidR="00F34B1A">
        <w:t>,</w:t>
      </w:r>
      <w:r w:rsidR="00E4128D">
        <w:t xml:space="preserve"> between Oslo and Stavanger.</w:t>
      </w:r>
      <w:r w:rsidR="004157E9">
        <w:rPr>
          <w:rStyle w:val="FootnoteReference"/>
        </w:rPr>
        <w:footnoteReference w:id="84"/>
      </w:r>
      <w:r w:rsidR="00E4128D">
        <w:t xml:space="preserve">  </w:t>
      </w:r>
      <w:r w:rsidR="009C4F35">
        <w:t xml:space="preserve">The corridor will provide 350 miles </w:t>
      </w:r>
      <w:r w:rsidR="00AD1272">
        <w:t>of</w:t>
      </w:r>
      <w:r w:rsidR="009C4F35">
        <w:t xml:space="preserve"> fueling stations for buses, taxis, and cars.</w:t>
      </w:r>
      <w:r w:rsidR="004157E9">
        <w:rPr>
          <w:rStyle w:val="FootnoteReference"/>
        </w:rPr>
        <w:footnoteReference w:id="85"/>
      </w:r>
      <w:r w:rsidR="009C4F35">
        <w:t xml:space="preserve">  </w:t>
      </w:r>
      <w:r w:rsidR="005165E1">
        <w:t>T</w:t>
      </w:r>
      <w:r w:rsidR="00DA6FD9">
        <w:t xml:space="preserve">he Norwegian government has </w:t>
      </w:r>
      <w:r w:rsidR="005165E1">
        <w:t xml:space="preserve">also </w:t>
      </w:r>
      <w:r w:rsidR="00DA6FD9">
        <w:t>offered tax incentives to purchasers of hydrogen powered vehicles.</w:t>
      </w:r>
      <w:r w:rsidR="00AB7F40">
        <w:rPr>
          <w:rStyle w:val="FootnoteReference"/>
        </w:rPr>
        <w:footnoteReference w:id="86"/>
      </w:r>
      <w:r w:rsidR="00DA6FD9">
        <w:t xml:space="preserve">  </w:t>
      </w:r>
      <w:r w:rsidR="001700CC">
        <w:t>Norway</w:t>
      </w:r>
      <w:r w:rsidR="009A55EC">
        <w:t xml:space="preserve"> plans to supply the hydrogen from a variety of mea</w:t>
      </w:r>
      <w:r w:rsidR="000C777E">
        <w:t>ns including hydroelectric</w:t>
      </w:r>
      <w:r w:rsidR="009A55EC">
        <w:t xml:space="preserve">, waste </w:t>
      </w:r>
      <w:r w:rsidR="00111496">
        <w:t>incineration</w:t>
      </w:r>
      <w:r w:rsidR="009A55EC">
        <w:t xml:space="preserve">, </w:t>
      </w:r>
      <w:r w:rsidR="00356095">
        <w:t>CO</w:t>
      </w:r>
      <w:r w:rsidR="00356095" w:rsidRPr="00B00F32">
        <w:rPr>
          <w:vertAlign w:val="subscript"/>
        </w:rPr>
        <w:t>2</w:t>
      </w:r>
      <w:r w:rsidR="009A55EC">
        <w:t xml:space="preserve"> recapture, and photovoltaic cells.</w:t>
      </w:r>
      <w:r w:rsidR="007F31BB">
        <w:rPr>
          <w:rStyle w:val="FootnoteReference"/>
        </w:rPr>
        <w:footnoteReference w:id="87"/>
      </w:r>
      <w:r w:rsidR="009A55EC">
        <w:t xml:space="preserve">  </w:t>
      </w:r>
      <w:r w:rsidR="00C54339">
        <w:t xml:space="preserve">In 2007, Mazda </w:t>
      </w:r>
      <w:r w:rsidR="000C777E">
        <w:t xml:space="preserve">chose HyNor as the test </w:t>
      </w:r>
      <w:r w:rsidR="00C54339">
        <w:t>road for their new hydrogen powered car</w:t>
      </w:r>
      <w:r w:rsidR="00FB49CB">
        <w:t>, the RX-</w:t>
      </w:r>
      <w:r w:rsidR="002E527A">
        <w:t>8</w:t>
      </w:r>
      <w:r w:rsidR="00FB49CB">
        <w:t>-</w:t>
      </w:r>
      <w:r w:rsidR="002E527A">
        <w:t>Hydrogen</w:t>
      </w:r>
      <w:r w:rsidR="00BC6940">
        <w:t>RE</w:t>
      </w:r>
      <w:r w:rsidR="00C54339">
        <w:t>.</w:t>
      </w:r>
      <w:r w:rsidR="007F31BB">
        <w:rPr>
          <w:rStyle w:val="FootnoteReference"/>
        </w:rPr>
        <w:footnoteReference w:id="88"/>
      </w:r>
      <w:r w:rsidR="00C54339">
        <w:t xml:space="preserve">  </w:t>
      </w:r>
      <w:r w:rsidR="00BC6940">
        <w:t xml:space="preserve">Mazda agreed to supply </w:t>
      </w:r>
      <w:r w:rsidR="00413798">
        <w:t>thirty</w:t>
      </w:r>
      <w:r w:rsidR="00BC6940">
        <w:t xml:space="preserve"> of the cars for the HyNor project</w:t>
      </w:r>
      <w:r w:rsidR="00AB2540">
        <w:t xml:space="preserve"> </w:t>
      </w:r>
      <w:r w:rsidR="005165E1">
        <w:t xml:space="preserve">to evaluate </w:t>
      </w:r>
      <w:r w:rsidR="00AB2540">
        <w:t>the hydrogen based transportation system</w:t>
      </w:r>
      <w:r w:rsidR="00BC6940">
        <w:t>.</w:t>
      </w:r>
      <w:r w:rsidR="007F31BB">
        <w:rPr>
          <w:rStyle w:val="FootnoteReference"/>
        </w:rPr>
        <w:footnoteReference w:id="89"/>
      </w:r>
      <w:r w:rsidR="00BC6940">
        <w:t xml:space="preserve">  </w:t>
      </w:r>
    </w:p>
    <w:p w:rsidR="006572D9" w:rsidRDefault="006572D9" w:rsidP="00316814">
      <w:pPr>
        <w:spacing w:line="360" w:lineRule="auto"/>
        <w:contextualSpacing/>
      </w:pPr>
      <w:r>
        <w:tab/>
        <w:t>The transportation market may be more difficult to break into competitively</w:t>
      </w:r>
      <w:r w:rsidR="00FE50D2">
        <w:t xml:space="preserve"> than initially thought</w:t>
      </w:r>
      <w:r>
        <w:t xml:space="preserve">. </w:t>
      </w:r>
      <w:r w:rsidR="00CB431F">
        <w:t xml:space="preserve"> Norway levies a very high</w:t>
      </w:r>
      <w:r>
        <w:t xml:space="preserve"> value added tax, which is a sales tax up to 24% on some items.</w:t>
      </w:r>
      <w:r w:rsidR="003F5479">
        <w:rPr>
          <w:rStyle w:val="FootnoteReference"/>
        </w:rPr>
        <w:footnoteReference w:id="90"/>
      </w:r>
      <w:r>
        <w:t xml:space="preserve">  </w:t>
      </w:r>
      <w:r w:rsidR="00985244">
        <w:t xml:space="preserve">In addition, Norway levies </w:t>
      </w:r>
      <w:r w:rsidR="00680C9A">
        <w:t xml:space="preserve">taxes on </w:t>
      </w:r>
      <w:r w:rsidR="00985244">
        <w:t>road</w:t>
      </w:r>
      <w:r w:rsidR="00680C9A">
        <w:t>s, carbon, energy</w:t>
      </w:r>
      <w:r w:rsidR="00985244">
        <w:t>, and car</w:t>
      </w:r>
      <w:r w:rsidR="00680C9A">
        <w:t>s which are</w:t>
      </w:r>
      <w:r w:rsidR="00985244">
        <w:t xml:space="preserve"> much higher than continental Europe.</w:t>
      </w:r>
      <w:r w:rsidR="003F5479">
        <w:rPr>
          <w:rStyle w:val="FootnoteReference"/>
        </w:rPr>
        <w:footnoteReference w:id="91"/>
      </w:r>
      <w:r w:rsidR="00985244">
        <w:t xml:space="preserve">  </w:t>
      </w:r>
      <w:r w:rsidR="00F237D0">
        <w:t xml:space="preserve">Without </w:t>
      </w:r>
      <w:r w:rsidR="00AF6F6D">
        <w:t>s</w:t>
      </w:r>
      <w:r w:rsidR="003A19A1">
        <w:t xml:space="preserve">ignificant </w:t>
      </w:r>
      <w:r w:rsidR="00F237D0">
        <w:t xml:space="preserve">tax breaks, </w:t>
      </w:r>
      <w:r w:rsidR="00FD7FD1">
        <w:t xml:space="preserve">continued </w:t>
      </w:r>
      <w:r w:rsidR="00412C2E">
        <w:t xml:space="preserve">interest in hydrogen based transportation </w:t>
      </w:r>
      <w:r w:rsidR="00F237D0">
        <w:t xml:space="preserve">may </w:t>
      </w:r>
      <w:r w:rsidR="00F42C45">
        <w:t xml:space="preserve">not </w:t>
      </w:r>
      <w:r w:rsidR="00F237D0">
        <w:t xml:space="preserve">be </w:t>
      </w:r>
      <w:r w:rsidR="00F42C45">
        <w:t>economically feasible</w:t>
      </w:r>
      <w:r w:rsidR="00F237D0">
        <w:t xml:space="preserve">.  </w:t>
      </w:r>
    </w:p>
    <w:p w:rsidR="00DB79D6" w:rsidRDefault="00DB79D6" w:rsidP="00316814">
      <w:pPr>
        <w:spacing w:line="360" w:lineRule="auto"/>
        <w:contextualSpacing/>
      </w:pPr>
    </w:p>
    <w:p w:rsidR="003C2C1E" w:rsidRDefault="003C2C1E" w:rsidP="00316814">
      <w:pPr>
        <w:spacing w:line="360" w:lineRule="auto"/>
        <w:contextualSpacing/>
      </w:pPr>
    </w:p>
    <w:p w:rsidR="003C2C1E" w:rsidRDefault="003C2C1E" w:rsidP="00316814">
      <w:pPr>
        <w:spacing w:line="360" w:lineRule="auto"/>
        <w:contextualSpacing/>
      </w:pPr>
    </w:p>
    <w:p w:rsidR="006A30C8" w:rsidRPr="00191924" w:rsidRDefault="003F29CC" w:rsidP="00316814">
      <w:pPr>
        <w:spacing w:line="360" w:lineRule="auto"/>
        <w:contextualSpacing/>
        <w:rPr>
          <w:u w:val="single"/>
        </w:rPr>
      </w:pPr>
      <w:r>
        <w:rPr>
          <w:u w:val="single"/>
        </w:rPr>
        <w:lastRenderedPageBreak/>
        <w:t xml:space="preserve">District </w:t>
      </w:r>
      <w:r w:rsidR="00B961C5" w:rsidRPr="00191924">
        <w:rPr>
          <w:u w:val="single"/>
        </w:rPr>
        <w:t>Heating</w:t>
      </w:r>
    </w:p>
    <w:p w:rsidR="006A30C8" w:rsidRDefault="006A30C8" w:rsidP="00316814">
      <w:pPr>
        <w:spacing w:line="360" w:lineRule="auto"/>
        <w:contextualSpacing/>
      </w:pPr>
    </w:p>
    <w:p w:rsidR="006A30C8" w:rsidRDefault="00694A86" w:rsidP="00316814">
      <w:pPr>
        <w:spacing w:line="360" w:lineRule="auto"/>
        <w:contextualSpacing/>
      </w:pPr>
      <w:r>
        <w:tab/>
      </w:r>
      <w:r w:rsidR="00E810C7">
        <w:t>A major electricity use</w:t>
      </w:r>
      <w:r w:rsidR="00886026">
        <w:t xml:space="preserve"> often overlooked</w:t>
      </w:r>
      <w:r w:rsidR="004372FF">
        <w:t xml:space="preserve"> by </w:t>
      </w:r>
      <w:r w:rsidR="00CC0735">
        <w:t xml:space="preserve">warmer climate </w:t>
      </w:r>
      <w:r w:rsidR="004372FF">
        <w:t xml:space="preserve">states </w:t>
      </w:r>
      <w:r w:rsidR="00886026">
        <w:t xml:space="preserve">is residential and commercial </w:t>
      </w:r>
      <w:r w:rsidR="001B025A">
        <w:t>heating</w:t>
      </w:r>
      <w:r w:rsidR="00886026">
        <w:t xml:space="preserve">.  </w:t>
      </w:r>
      <w:r w:rsidR="005C51A0">
        <w:t>One idea that is garnering</w:t>
      </w:r>
      <w:r w:rsidR="00793360">
        <w:t xml:space="preserve"> heavy </w:t>
      </w:r>
      <w:r w:rsidR="000C777E">
        <w:t>research</w:t>
      </w:r>
      <w:r w:rsidR="00793360">
        <w:t xml:space="preserve"> funding is district heating.</w:t>
      </w:r>
      <w:r w:rsidR="00721CFE">
        <w:rPr>
          <w:rStyle w:val="FootnoteReference"/>
        </w:rPr>
        <w:footnoteReference w:id="92"/>
      </w:r>
      <w:r w:rsidR="00793360">
        <w:t xml:space="preserve">  </w:t>
      </w:r>
      <w:r w:rsidR="00952F4F">
        <w:t>In such system</w:t>
      </w:r>
      <w:r w:rsidR="00AE5DF8">
        <w:t>s</w:t>
      </w:r>
      <w:r w:rsidR="00952F4F">
        <w:t>, a centralized plant produces heat and sends it through a medium, such as thermally insulated pipes carrying boili</w:t>
      </w:r>
      <w:r w:rsidR="003B70BC">
        <w:t>ng water, to the individual consumer</w:t>
      </w:r>
      <w:r w:rsidR="00952F4F">
        <w:t>.</w:t>
      </w:r>
      <w:r w:rsidR="00721CFE">
        <w:rPr>
          <w:rStyle w:val="FootnoteReference"/>
        </w:rPr>
        <w:footnoteReference w:id="93"/>
      </w:r>
      <w:r w:rsidR="00952F4F">
        <w:t xml:space="preserve">  District heating can be much more efficient than an individual heating basis</w:t>
      </w:r>
      <w:r w:rsidR="0042477E">
        <w:t>, and in practice it uses</w:t>
      </w:r>
      <w:r w:rsidR="00FC27F5">
        <w:t xml:space="preserve"> </w:t>
      </w:r>
      <w:r w:rsidR="009B007D">
        <w:t xml:space="preserve">many diverse </w:t>
      </w:r>
      <w:r w:rsidR="00FC27F5">
        <w:t xml:space="preserve">energy </w:t>
      </w:r>
      <w:r w:rsidR="009B007D">
        <w:t xml:space="preserve">sources </w:t>
      </w:r>
      <w:r w:rsidR="00FC27F5">
        <w:t>to heat the medium</w:t>
      </w:r>
      <w:r w:rsidR="00952F4F">
        <w:t>.</w:t>
      </w:r>
      <w:r w:rsidR="00721CFE">
        <w:rPr>
          <w:rStyle w:val="FootnoteReference"/>
        </w:rPr>
        <w:footnoteReference w:id="94"/>
      </w:r>
      <w:r w:rsidR="0042477E">
        <w:t xml:space="preserve">  </w:t>
      </w:r>
      <w:r w:rsidR="009C0DBF">
        <w:t>One such plant in Norway</w:t>
      </w:r>
      <w:r w:rsidR="001C2889">
        <w:t xml:space="preserve"> utilizes heat pumps to extract heat from sewage</w:t>
      </w:r>
      <w:r w:rsidR="00DD7526">
        <w:t xml:space="preserve"> and provide heating for 9,000 homes</w:t>
      </w:r>
      <w:r w:rsidR="001C2889">
        <w:t>.</w:t>
      </w:r>
      <w:r w:rsidR="00721CFE">
        <w:rPr>
          <w:rStyle w:val="FootnoteReference"/>
        </w:rPr>
        <w:footnoteReference w:id="95"/>
      </w:r>
      <w:r w:rsidR="001C2889">
        <w:t xml:space="preserve">  </w:t>
      </w:r>
      <w:r w:rsidR="00CE1EB4">
        <w:t>Heat pumps are also used in conventional power plants to extract waste heat from normal electricity generation</w:t>
      </w:r>
      <w:r w:rsidR="00A74D7E">
        <w:t>.</w:t>
      </w:r>
      <w:r w:rsidR="002510B4">
        <w:rPr>
          <w:rStyle w:val="FootnoteReference"/>
        </w:rPr>
        <w:footnoteReference w:id="96"/>
      </w:r>
      <w:r w:rsidR="00A74D7E">
        <w:t xml:space="preserve">  </w:t>
      </w:r>
      <w:r w:rsidR="00030AC3">
        <w:t xml:space="preserve">In this way, the energy efficiency of the plant is increased, and residents around the plant </w:t>
      </w:r>
      <w:r w:rsidR="00D975F4">
        <w:t>receive district heating.</w:t>
      </w:r>
      <w:r w:rsidR="002510B4">
        <w:rPr>
          <w:rStyle w:val="FootnoteReference"/>
        </w:rPr>
        <w:footnoteReference w:id="97"/>
      </w:r>
      <w:r w:rsidR="00D975F4">
        <w:t xml:space="preserve">  </w:t>
      </w:r>
      <w:r w:rsidR="00AE1255">
        <w:t>The Norwegian government is funding many projects to research and implement district heating as a means of future energy e</w:t>
      </w:r>
      <w:r w:rsidR="00D975F4">
        <w:t>fficiency increase.</w:t>
      </w:r>
      <w:r w:rsidR="002510B4">
        <w:rPr>
          <w:rStyle w:val="FootnoteReference"/>
        </w:rPr>
        <w:footnoteReference w:id="98"/>
      </w:r>
      <w:r w:rsidR="00D975F4">
        <w:t xml:space="preserve">  </w:t>
      </w:r>
    </w:p>
    <w:p w:rsidR="00940D56" w:rsidRDefault="00940D56">
      <w:r>
        <w:br w:type="page"/>
      </w:r>
    </w:p>
    <w:p w:rsidR="0043788E" w:rsidRPr="0043788E" w:rsidRDefault="0043788E" w:rsidP="0043788E">
      <w:pPr>
        <w:spacing w:line="360" w:lineRule="auto"/>
        <w:contextualSpacing/>
        <w:jc w:val="center"/>
        <w:rPr>
          <w:b/>
          <w:u w:val="single"/>
        </w:rPr>
      </w:pPr>
      <w:r w:rsidRPr="0043788E">
        <w:rPr>
          <w:b/>
          <w:u w:val="single"/>
        </w:rPr>
        <w:lastRenderedPageBreak/>
        <w:t>Conclusion</w:t>
      </w:r>
    </w:p>
    <w:p w:rsidR="0043788E" w:rsidRDefault="0043788E" w:rsidP="0073001D">
      <w:pPr>
        <w:spacing w:line="360" w:lineRule="auto"/>
        <w:contextualSpacing/>
      </w:pPr>
    </w:p>
    <w:p w:rsidR="0078765A" w:rsidRDefault="0078765A" w:rsidP="0073001D">
      <w:pPr>
        <w:spacing w:line="360" w:lineRule="auto"/>
        <w:contextualSpacing/>
      </w:pPr>
      <w:r>
        <w:tab/>
      </w:r>
      <w:r w:rsidR="007517E1">
        <w:t xml:space="preserve">Norway is a </w:t>
      </w:r>
      <w:r w:rsidR="00761453">
        <w:t>role model</w:t>
      </w:r>
      <w:r w:rsidR="007517E1">
        <w:t xml:space="preserve"> for 21st </w:t>
      </w:r>
      <w:r w:rsidR="00095B8D">
        <w:t xml:space="preserve">century </w:t>
      </w:r>
      <w:r w:rsidR="007517E1">
        <w:t xml:space="preserve">energy policy.  </w:t>
      </w:r>
      <w:r w:rsidR="007B7814">
        <w:t xml:space="preserve">The past forty years </w:t>
      </w:r>
      <w:r w:rsidR="00E92B0B">
        <w:t>have seen</w:t>
      </w:r>
      <w:r w:rsidR="007B7814">
        <w:t xml:space="preserve"> </w:t>
      </w:r>
      <w:r w:rsidR="003B0E9A">
        <w:t xml:space="preserve">Norway become </w:t>
      </w:r>
      <w:r w:rsidR="005E69A1" w:rsidRPr="00DF61E9">
        <w:t xml:space="preserve">one of the world’s leaders in oil and gas production.  </w:t>
      </w:r>
      <w:r w:rsidR="00B707DC" w:rsidRPr="00DF61E9">
        <w:t xml:space="preserve">Even as the North Sea reserves become depleted, there are promising new </w:t>
      </w:r>
      <w:r w:rsidR="00E92B0B">
        <w:t xml:space="preserve">Arctic </w:t>
      </w:r>
      <w:r w:rsidR="00B707DC" w:rsidRPr="00DF61E9">
        <w:t>fiel</w:t>
      </w:r>
      <w:r w:rsidR="00177A87" w:rsidRPr="00DF61E9">
        <w:t>ds ripe for exploration once</w:t>
      </w:r>
      <w:r w:rsidR="00B707DC" w:rsidRPr="00DF61E9">
        <w:t xml:space="preserve"> </w:t>
      </w:r>
      <w:r w:rsidR="00E410A5">
        <w:t xml:space="preserve">the </w:t>
      </w:r>
      <w:r w:rsidR="00B707DC" w:rsidRPr="00DF61E9">
        <w:t xml:space="preserve">legal hurdles </w:t>
      </w:r>
      <w:r w:rsidR="00E0184E">
        <w:t>dissipate</w:t>
      </w:r>
      <w:r w:rsidR="00B707DC" w:rsidRPr="00DF61E9">
        <w:t xml:space="preserve">.  </w:t>
      </w:r>
      <w:r w:rsidR="003B0E9A" w:rsidRPr="00DF61E9">
        <w:t xml:space="preserve">However, the future will require </w:t>
      </w:r>
      <w:r w:rsidR="00A410E5">
        <w:t>diverse</w:t>
      </w:r>
      <w:r w:rsidR="003B0E9A" w:rsidRPr="00DF61E9">
        <w:t xml:space="preserve"> </w:t>
      </w:r>
      <w:r w:rsidR="00D84480">
        <w:t xml:space="preserve">energy </w:t>
      </w:r>
      <w:r w:rsidR="003B0E9A" w:rsidRPr="00DF61E9">
        <w:t xml:space="preserve">sources to meet </w:t>
      </w:r>
      <w:r w:rsidR="00E410A5">
        <w:t xml:space="preserve">Norway’s </w:t>
      </w:r>
      <w:r w:rsidR="003B0E9A" w:rsidRPr="00DF61E9">
        <w:t xml:space="preserve">increasing demand.  </w:t>
      </w:r>
      <w:r w:rsidR="005E69A1" w:rsidRPr="00DF61E9">
        <w:t xml:space="preserve">By adding the potential </w:t>
      </w:r>
      <w:r w:rsidR="0080612C" w:rsidRPr="00DF61E9">
        <w:t xml:space="preserve">capacity </w:t>
      </w:r>
      <w:r w:rsidR="00896DF2">
        <w:t>of Norwegian wind</w:t>
      </w:r>
      <w:r w:rsidR="005E69A1" w:rsidRPr="00DF61E9">
        <w:t>farms</w:t>
      </w:r>
      <w:r w:rsidR="00095B8D" w:rsidRPr="00DF61E9">
        <w:t>, solar plants, and hydroelectric generators</w:t>
      </w:r>
      <w:r w:rsidR="005E69A1" w:rsidRPr="00DF61E9">
        <w:t xml:space="preserve">, Norway could </w:t>
      </w:r>
      <w:r w:rsidR="007A6564" w:rsidRPr="00DF61E9">
        <w:t xml:space="preserve">become Europe’s </w:t>
      </w:r>
      <w:r w:rsidR="00AF3119">
        <w:t>“</w:t>
      </w:r>
      <w:r w:rsidR="00C45071">
        <w:t>green battery.</w:t>
      </w:r>
      <w:r w:rsidR="00AF3119">
        <w:t>”</w:t>
      </w:r>
      <w:r w:rsidR="005E69A1" w:rsidRPr="00DF61E9">
        <w:t xml:space="preserve">  </w:t>
      </w:r>
      <w:r w:rsidR="00E9542D">
        <w:t>H</w:t>
      </w:r>
      <w:r w:rsidR="000932BF" w:rsidRPr="00DF61E9">
        <w:t xml:space="preserve">ydrogen powered cars and </w:t>
      </w:r>
      <w:r w:rsidR="00A92CA6">
        <w:t xml:space="preserve">efficient </w:t>
      </w:r>
      <w:r w:rsidR="00605FB4">
        <w:t xml:space="preserve">district heating could </w:t>
      </w:r>
      <w:r w:rsidR="00A92CA6">
        <w:t>help meet Norway’s increasing energy demand</w:t>
      </w:r>
      <w:r w:rsidR="00E9542D">
        <w:t xml:space="preserve"> and still allow</w:t>
      </w:r>
      <w:r w:rsidR="00E53512" w:rsidRPr="00DF61E9">
        <w:t xml:space="preserve"> export</w:t>
      </w:r>
      <w:r w:rsidR="00E9542D">
        <w:t>ation of</w:t>
      </w:r>
      <w:r w:rsidR="00E53512" w:rsidRPr="00DF61E9">
        <w:t xml:space="preserve"> </w:t>
      </w:r>
      <w:r w:rsidR="00026910">
        <w:t>renewable</w:t>
      </w:r>
      <w:r w:rsidR="00FB3583">
        <w:t xml:space="preserve"> </w:t>
      </w:r>
      <w:r w:rsidR="00E53512" w:rsidRPr="00DF61E9">
        <w:t>energy</w:t>
      </w:r>
      <w:r w:rsidR="00CE7351">
        <w:t xml:space="preserve"> as well</w:t>
      </w:r>
      <w:r w:rsidR="00C650BA">
        <w:t xml:space="preserve"> as oil and gas</w:t>
      </w:r>
      <w:r w:rsidR="00D53993" w:rsidRPr="00DF61E9">
        <w:t xml:space="preserve">.  </w:t>
      </w:r>
      <w:r w:rsidR="00020C2D">
        <w:t xml:space="preserve">Norway has a </w:t>
      </w:r>
      <w:r w:rsidR="00E9542D">
        <w:t>diverse</w:t>
      </w:r>
      <w:r w:rsidR="00020C2D">
        <w:t xml:space="preserve"> vision for the</w:t>
      </w:r>
      <w:r w:rsidR="00E9542D">
        <w:t>ir energy</w:t>
      </w:r>
      <w:r w:rsidR="00020C2D">
        <w:t xml:space="preserve"> future and is positioned</w:t>
      </w:r>
      <w:r w:rsidR="0048317E">
        <w:t xml:space="preserve"> to be a leader </w:t>
      </w:r>
      <w:r w:rsidR="00A92CA6">
        <w:t xml:space="preserve">and trendsetter </w:t>
      </w:r>
      <w:r w:rsidR="0048317E">
        <w:t>of energy policy for years to come</w:t>
      </w:r>
      <w:r w:rsidR="00020C2D">
        <w:t xml:space="preserve">.  </w:t>
      </w:r>
    </w:p>
    <w:sectPr w:rsidR="0078765A" w:rsidSect="0091145E"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8E1" w:rsidRDefault="003638E1" w:rsidP="0093319E">
      <w:pPr>
        <w:spacing w:after="0" w:line="240" w:lineRule="auto"/>
      </w:pPr>
      <w:r>
        <w:separator/>
      </w:r>
    </w:p>
  </w:endnote>
  <w:endnote w:type="continuationSeparator" w:id="0">
    <w:p w:rsidR="003638E1" w:rsidRDefault="003638E1" w:rsidP="0093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1748"/>
      <w:docPartObj>
        <w:docPartGallery w:val="Page Numbers (Bottom of Page)"/>
        <w:docPartUnique/>
      </w:docPartObj>
    </w:sdtPr>
    <w:sdtContent>
      <w:p w:rsidR="00315D99" w:rsidRDefault="006B6EC6" w:rsidP="00686C29">
        <w:pPr>
          <w:pStyle w:val="Footer"/>
          <w:jc w:val="right"/>
        </w:pPr>
        <w:fldSimple w:instr=" PAGE   \* MERGEFORMAT ">
          <w:r w:rsidR="008B38FB">
            <w:rPr>
              <w:noProof/>
            </w:rPr>
            <w:t>17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8E1" w:rsidRDefault="003638E1" w:rsidP="0093319E">
      <w:pPr>
        <w:spacing w:after="0" w:line="240" w:lineRule="auto"/>
      </w:pPr>
      <w:r>
        <w:separator/>
      </w:r>
    </w:p>
  </w:footnote>
  <w:footnote w:type="continuationSeparator" w:id="0">
    <w:p w:rsidR="003638E1" w:rsidRDefault="003638E1" w:rsidP="0093319E">
      <w:pPr>
        <w:spacing w:after="0" w:line="240" w:lineRule="auto"/>
      </w:pPr>
      <w:r>
        <w:continuationSeparator/>
      </w:r>
    </w:p>
  </w:footnote>
  <w:footnote w:id="1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Norwegian Ministry of Petroleum and Energy, </w:t>
      </w:r>
      <w:hyperlink r:id="rId1" w:history="1">
        <w:r w:rsidRPr="006C6EFF">
          <w:rPr>
            <w:rStyle w:val="Hyperlink"/>
          </w:rPr>
          <w:t>http://www.regjeringen.no/en/dep/oed.html?id=750</w:t>
        </w:r>
      </w:hyperlink>
      <w:r>
        <w:t xml:space="preserve">.  </w:t>
      </w:r>
    </w:p>
  </w:footnote>
  <w:footnote w:id="2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BP Statistical Review of World Energy Full Report 2009, </w:t>
      </w:r>
      <w:hyperlink r:id="rId2" w:history="1">
        <w:r w:rsidRPr="006C6EFF">
          <w:rPr>
            <w:rStyle w:val="Hyperlink"/>
          </w:rPr>
          <w:t>http://www.bp.com/productlanding.do?categoryId=6929&amp;contentId=7044622</w:t>
        </w:r>
      </w:hyperlink>
      <w:r>
        <w:t xml:space="preserve"> (follow “workbook” hyperlink).  </w:t>
      </w:r>
    </w:p>
  </w:footnote>
  <w:footnote w:id="3">
    <w:p w:rsidR="00315D99" w:rsidRDefault="00315D99">
      <w:pPr>
        <w:pStyle w:val="FootnoteText"/>
      </w:pPr>
      <w:r>
        <w:rPr>
          <w:rStyle w:val="FootnoteReference"/>
        </w:rPr>
        <w:footnoteRef/>
      </w:r>
      <w:r w:rsidRPr="004D2028">
        <w:t xml:space="preserve"> </w:t>
      </w:r>
      <w:r w:rsidRPr="00DB6A8F">
        <w:rPr>
          <w:i/>
        </w:rPr>
        <w:t>Id.</w:t>
      </w:r>
    </w:p>
  </w:footnote>
  <w:footnote w:id="4">
    <w:p w:rsidR="00315D99" w:rsidRDefault="00315D99" w:rsidP="00CC3AC3">
      <w:pPr>
        <w:pStyle w:val="FootnoteText"/>
      </w:pPr>
      <w:r>
        <w:rPr>
          <w:rStyle w:val="FootnoteReference"/>
        </w:rPr>
        <w:footnoteRef/>
      </w:r>
      <w:r w:rsidRPr="004D2028">
        <w:t xml:space="preserve"> </w:t>
      </w:r>
      <w:r w:rsidRPr="00DB6A8F">
        <w:rPr>
          <w:i/>
        </w:rPr>
        <w:t>Id.</w:t>
      </w:r>
    </w:p>
  </w:footnote>
  <w:footnote w:id="5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Institute for the Analysis of Global Security, </w:t>
      </w:r>
      <w:r w:rsidRPr="008C5992">
        <w:rPr>
          <w:i/>
        </w:rPr>
        <w:t>North Sea Oil is Declining</w:t>
      </w:r>
      <w:r>
        <w:t xml:space="preserve"> (2004), </w:t>
      </w:r>
      <w:hyperlink r:id="rId3" w:history="1">
        <w:r w:rsidRPr="00D4085C">
          <w:rPr>
            <w:rStyle w:val="Hyperlink"/>
          </w:rPr>
          <w:t>http://www.iags.org/n0524043.htm</w:t>
        </w:r>
      </w:hyperlink>
      <w:r>
        <w:t xml:space="preserve">.  </w:t>
      </w:r>
    </w:p>
  </w:footnote>
  <w:footnote w:id="6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BP Statistical Review 2009, </w:t>
      </w:r>
      <w:r w:rsidRPr="00472E67">
        <w:rPr>
          <w:i/>
        </w:rPr>
        <w:t>supra</w:t>
      </w:r>
      <w:r>
        <w:t xml:space="preserve"> note 2.</w:t>
      </w:r>
    </w:p>
  </w:footnote>
  <w:footnote w:id="7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Odd Roger Enoksen, S</w:t>
      </w:r>
      <w:r w:rsidRPr="003B2E51">
        <w:rPr>
          <w:i/>
        </w:rPr>
        <w:t>tatement by the Norwegian Minister of Petroleum and Energy at the 2005 UK-Norway Oil and Gas Seminar</w:t>
      </w:r>
      <w:r>
        <w:t xml:space="preserve">, </w:t>
      </w:r>
      <w:hyperlink r:id="rId4" w:history="1">
        <w:r w:rsidRPr="00D4085C">
          <w:rPr>
            <w:rStyle w:val="Hyperlink"/>
          </w:rPr>
          <w:t>http://www.regjeringen.no/en/dep/oed/whats-new/speeches-and-articles/the_minister/speeches-and-articles/2005/uk-norway-oil-and-gas-seminar-in-london.html?id=420697</w:t>
        </w:r>
      </w:hyperlink>
      <w:r>
        <w:t xml:space="preserve">.  </w:t>
      </w:r>
    </w:p>
  </w:footnote>
  <w:footnote w:id="8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EnR Renewable Energy Working Group, </w:t>
      </w:r>
      <w:r w:rsidRPr="00EC2BE8">
        <w:rPr>
          <w:i/>
        </w:rPr>
        <w:t>Renewable Energy in the E.U. and Norway</w:t>
      </w:r>
      <w:r>
        <w:t xml:space="preserve">, 1.1 (2000), </w:t>
      </w:r>
      <w:hyperlink r:id="rId5" w:history="1">
        <w:r w:rsidRPr="006C6EFF">
          <w:rPr>
            <w:rStyle w:val="Hyperlink"/>
          </w:rPr>
          <w:t>http://www.agores.org/Publications/EnR/Norway-2000.pdf</w:t>
        </w:r>
      </w:hyperlink>
      <w:r>
        <w:t xml:space="preserve"> [“REEUN”].</w:t>
      </w:r>
    </w:p>
  </w:footnote>
  <w:footnote w:id="9">
    <w:p w:rsidR="00315D99" w:rsidRDefault="00315D99">
      <w:pPr>
        <w:pStyle w:val="FootnoteText"/>
      </w:pPr>
      <w:r w:rsidRPr="00F63443">
        <w:rPr>
          <w:rStyle w:val="FootnoteReference"/>
        </w:rPr>
        <w:footnoteRef/>
      </w:r>
      <w:r w:rsidRPr="00F63443">
        <w:t xml:space="preserve"> </w:t>
      </w:r>
      <w:r w:rsidRPr="00F63443">
        <w:rPr>
          <w:rStyle w:val="documentbody"/>
        </w:rPr>
        <w:t>Todd Kimbrough</w:t>
      </w:r>
      <w:r w:rsidRPr="00F63443">
        <w:t xml:space="preserve">, </w:t>
      </w:r>
      <w:r w:rsidRPr="00F63443">
        <w:rPr>
          <w:i/>
        </w:rPr>
        <w:t>Did I Dance on the Tables?  Did I Shoot out the Lights?  European Electricity Policy as a Guide to America’s Energy Future</w:t>
      </w:r>
      <w:r w:rsidRPr="00F63443">
        <w:t xml:space="preserve">, 4 </w:t>
      </w:r>
      <w:r w:rsidRPr="00F63443">
        <w:rPr>
          <w:rStyle w:val="documentbody"/>
        </w:rPr>
        <w:t>Wash. U. Global Studies L.R.</w:t>
      </w:r>
      <w:r w:rsidRPr="00F63443">
        <w:t xml:space="preserve"> 675, 687 (2005).</w:t>
      </w:r>
      <w:r>
        <w:t xml:space="preserve">  </w:t>
      </w:r>
    </w:p>
  </w:footnote>
  <w:footnote w:id="10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625C">
        <w:t>REEUN</w:t>
      </w:r>
      <w:r>
        <w:t xml:space="preserve">, </w:t>
      </w:r>
      <w:r w:rsidRPr="009649AC">
        <w:rPr>
          <w:i/>
        </w:rPr>
        <w:t>supra</w:t>
      </w:r>
      <w:r>
        <w:t xml:space="preserve"> note 8 at 1.1.  </w:t>
      </w:r>
    </w:p>
  </w:footnote>
  <w:footnote w:id="11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64FDC">
        <w:rPr>
          <w:i/>
        </w:rPr>
        <w:t>Id.</w:t>
      </w:r>
    </w:p>
  </w:footnote>
  <w:footnote w:id="12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Norwegian Thorium Report Committee, </w:t>
      </w:r>
      <w:r w:rsidRPr="00EC443F">
        <w:rPr>
          <w:i/>
        </w:rPr>
        <w:t>Thorium as an Energy Source- Opportunities for Norway</w:t>
      </w:r>
      <w:r>
        <w:t xml:space="preserve"> 14 (2008</w:t>
      </w:r>
      <w:r w:rsidRPr="00EB0D29">
        <w:t xml:space="preserve">), </w:t>
      </w:r>
      <w:r>
        <w:t>ISBN 978-82-7017-692-2</w:t>
      </w:r>
      <w:r w:rsidRPr="00EB0D29">
        <w:t>,</w:t>
      </w:r>
      <w:r>
        <w:t xml:space="preserve"> </w:t>
      </w:r>
      <w:r w:rsidRPr="00EB0D29">
        <w:rPr>
          <w:i/>
        </w:rPr>
        <w:t>available at</w:t>
      </w:r>
      <w:r>
        <w:t xml:space="preserve"> </w:t>
      </w:r>
      <w:hyperlink r:id="rId6" w:history="1">
        <w:r w:rsidRPr="00D4085C">
          <w:rPr>
            <w:rStyle w:val="Hyperlink"/>
          </w:rPr>
          <w:t>http://www.regjeringen.no/upload/OED/Rapporter/ThoriumReport2008.pdf</w:t>
        </w:r>
      </w:hyperlink>
      <w:r>
        <w:t>.</w:t>
      </w:r>
    </w:p>
  </w:footnote>
  <w:footnote w:id="13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64FDC">
        <w:rPr>
          <w:i/>
        </w:rPr>
        <w:t>Id.</w:t>
      </w:r>
    </w:p>
  </w:footnote>
  <w:footnote w:id="14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REEUN, </w:t>
      </w:r>
      <w:r w:rsidRPr="00753226">
        <w:rPr>
          <w:i/>
        </w:rPr>
        <w:t>supra</w:t>
      </w:r>
      <w:r>
        <w:t xml:space="preserve"> note 8 at 1.1.</w:t>
      </w:r>
    </w:p>
  </w:footnote>
  <w:footnote w:id="15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Norwegian Ministry of Petroleum and Energy, </w:t>
      </w:r>
      <w:r w:rsidRPr="00161324">
        <w:rPr>
          <w:i/>
        </w:rPr>
        <w:t>The Power Market</w:t>
      </w:r>
      <w:r>
        <w:t xml:space="preserve"> (2007), </w:t>
      </w:r>
      <w:hyperlink r:id="rId7" w:history="1">
        <w:r w:rsidRPr="00A57E39">
          <w:rPr>
            <w:rStyle w:val="Hyperlink"/>
          </w:rPr>
          <w:t>http://www.regjeringen.no/en/dep/oed/Subject/Energy-in-Norway/The-power-market.html?id=443423</w:t>
        </w:r>
      </w:hyperlink>
      <w:r>
        <w:t xml:space="preserve">.  </w:t>
      </w:r>
    </w:p>
  </w:footnote>
  <w:footnote w:id="16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Valeria Criscione, </w:t>
      </w:r>
      <w:r w:rsidRPr="004729DF">
        <w:rPr>
          <w:i/>
        </w:rPr>
        <w:t>Energetic Stavanger- an Energy Capital- Rooted in Success with a View to the Future</w:t>
      </w:r>
      <w:r>
        <w:t xml:space="preserve">, Official Norwegian Trade Portal (2009), </w:t>
      </w:r>
      <w:hyperlink r:id="rId8" w:history="1">
        <w:r w:rsidRPr="006C6EFF">
          <w:rPr>
            <w:rStyle w:val="Hyperlink"/>
          </w:rPr>
          <w:t>http://www.nortrade.com/index.php?cmd=show_article&amp;id=364</w:t>
        </w:r>
      </w:hyperlink>
      <w:r>
        <w:t xml:space="preserve">.  </w:t>
      </w:r>
    </w:p>
  </w:footnote>
  <w:footnote w:id="17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Statistics Norway, </w:t>
      </w:r>
      <w:r w:rsidRPr="003C0F8B">
        <w:rPr>
          <w:i/>
        </w:rPr>
        <w:t>Population Projections</w:t>
      </w:r>
      <w:r>
        <w:t xml:space="preserve"> (2009),  </w:t>
      </w:r>
      <w:hyperlink r:id="rId9" w:history="1">
        <w:r w:rsidRPr="00256851">
          <w:rPr>
            <w:rStyle w:val="Hyperlink"/>
          </w:rPr>
          <w:t>http://www.ssb.no/folkfram_en/</w:t>
        </w:r>
      </w:hyperlink>
      <w:r>
        <w:t xml:space="preserve">.  </w:t>
      </w:r>
    </w:p>
  </w:footnote>
  <w:footnote w:id="18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BP Statistical Review 2009, </w:t>
      </w:r>
      <w:r w:rsidRPr="00753226">
        <w:rPr>
          <w:i/>
        </w:rPr>
        <w:t>supra</w:t>
      </w:r>
      <w:r>
        <w:t xml:space="preserve"> note 2.  </w:t>
      </w:r>
    </w:p>
  </w:footnote>
  <w:footnote w:id="19">
    <w:p w:rsidR="00315D99" w:rsidRDefault="00315D99" w:rsidP="00CC3A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45A0">
        <w:rPr>
          <w:i/>
        </w:rPr>
        <w:t>Id.</w:t>
      </w:r>
      <w:r>
        <w:t xml:space="preserve">  </w:t>
      </w:r>
    </w:p>
  </w:footnote>
  <w:footnote w:id="20">
    <w:p w:rsidR="00315D99" w:rsidRDefault="00315D99" w:rsidP="00CC3A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45A0">
        <w:rPr>
          <w:i/>
        </w:rPr>
        <w:t>Id.</w:t>
      </w:r>
      <w:r>
        <w:t xml:space="preserve">  </w:t>
      </w:r>
    </w:p>
  </w:footnote>
  <w:footnote w:id="21">
    <w:p w:rsidR="00315D99" w:rsidRDefault="00315D99" w:rsidP="000D31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45A0">
        <w:rPr>
          <w:i/>
        </w:rPr>
        <w:t>Id.</w:t>
      </w:r>
      <w:r>
        <w:t xml:space="preserve">  </w:t>
      </w:r>
    </w:p>
  </w:footnote>
  <w:footnote w:id="22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Kimbrough, </w:t>
      </w:r>
      <w:r w:rsidRPr="00753226">
        <w:rPr>
          <w:i/>
        </w:rPr>
        <w:t>supra</w:t>
      </w:r>
      <w:r>
        <w:t xml:space="preserve"> note 9.</w:t>
      </w:r>
    </w:p>
  </w:footnote>
  <w:footnote w:id="23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Kimbrough, </w:t>
      </w:r>
      <w:r w:rsidRPr="005A5BF6">
        <w:rPr>
          <w:i/>
        </w:rPr>
        <w:t>supra</w:t>
      </w:r>
      <w:r>
        <w:t xml:space="preserve"> note 9.</w:t>
      </w:r>
    </w:p>
  </w:footnote>
  <w:footnote w:id="24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BP Statistical Review 2009, </w:t>
      </w:r>
      <w:r w:rsidRPr="005A5BF6">
        <w:rPr>
          <w:i/>
        </w:rPr>
        <w:t>supra</w:t>
      </w:r>
      <w:r>
        <w:t xml:space="preserve"> note 2.  </w:t>
      </w:r>
    </w:p>
  </w:footnote>
  <w:footnote w:id="25">
    <w:p w:rsidR="00315D99" w:rsidRDefault="00315D99" w:rsidP="000D31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45A0">
        <w:rPr>
          <w:i/>
        </w:rPr>
        <w:t>Id.</w:t>
      </w:r>
      <w:r>
        <w:t xml:space="preserve">  </w:t>
      </w:r>
    </w:p>
  </w:footnote>
  <w:footnote w:id="26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45A0">
        <w:rPr>
          <w:i/>
        </w:rPr>
        <w:t>Id.</w:t>
      </w:r>
      <w:r>
        <w:t xml:space="preserve">  </w:t>
      </w:r>
    </w:p>
  </w:footnote>
  <w:footnote w:id="27">
    <w:p w:rsidR="00315D99" w:rsidRDefault="00315D99" w:rsidP="000D31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45A0">
        <w:rPr>
          <w:i/>
        </w:rPr>
        <w:t>Id.</w:t>
      </w:r>
      <w:r>
        <w:t xml:space="preserve">  </w:t>
      </w:r>
    </w:p>
  </w:footnote>
  <w:footnote w:id="28">
    <w:p w:rsidR="00315D99" w:rsidRDefault="00315D99">
      <w:pPr>
        <w:pStyle w:val="FootnoteText"/>
      </w:pPr>
      <w:r w:rsidRPr="00EF5897">
        <w:rPr>
          <w:rStyle w:val="FootnoteReference"/>
        </w:rPr>
        <w:footnoteRef/>
      </w:r>
      <w:r w:rsidR="00F36557">
        <w:t xml:space="preserve"> </w:t>
      </w:r>
      <w:r w:rsidR="00C91539" w:rsidRPr="00C91539">
        <w:rPr>
          <w:i/>
        </w:rPr>
        <w:t>See</w:t>
      </w:r>
      <w:r w:rsidR="00C91539">
        <w:t xml:space="preserve"> </w:t>
      </w:r>
      <w:r w:rsidRPr="00EF5897">
        <w:t xml:space="preserve">Daniel Yergin, </w:t>
      </w:r>
      <w:r w:rsidRPr="00EF5897">
        <w:rPr>
          <w:i/>
        </w:rPr>
        <w:t>It’s Still the One</w:t>
      </w:r>
      <w:r w:rsidRPr="00EF5897">
        <w:t>, Foreign Policy 89, 95, September 2009.</w:t>
      </w:r>
      <w:r>
        <w:t xml:space="preserve">  </w:t>
      </w:r>
      <w:r w:rsidR="00C91539">
        <w:t>U.S. efficiency discussed.</w:t>
      </w:r>
    </w:p>
  </w:footnote>
  <w:footnote w:id="29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Nancy Bazilchuk, </w:t>
      </w:r>
      <w:r w:rsidRPr="007C5AB7">
        <w:rPr>
          <w:i/>
        </w:rPr>
        <w:t>Power Generation- Norway’s Renewable Energy Future</w:t>
      </w:r>
      <w:r>
        <w:t xml:space="preserve"> (2008), </w:t>
      </w:r>
      <w:r w:rsidRPr="00507262">
        <w:rPr>
          <w:i/>
        </w:rPr>
        <w:t>available at</w:t>
      </w:r>
      <w:r>
        <w:t xml:space="preserve"> </w:t>
      </w:r>
      <w:hyperlink r:id="rId10" w:history="1">
        <w:r w:rsidRPr="006C6EFF">
          <w:rPr>
            <w:rStyle w:val="Hyperlink"/>
          </w:rPr>
          <w:t>http://www.nortrade.com/index.php?cmd=show_article&amp;id=290</w:t>
        </w:r>
      </w:hyperlink>
      <w:r>
        <w:t xml:space="preserve">.  </w:t>
      </w:r>
    </w:p>
  </w:footnote>
  <w:footnote w:id="30">
    <w:p w:rsidR="00315D99" w:rsidRDefault="00315D99" w:rsidP="000D31A5">
      <w:pPr>
        <w:pStyle w:val="FootnoteText"/>
      </w:pPr>
      <w:r>
        <w:rPr>
          <w:rStyle w:val="FootnoteReference"/>
        </w:rPr>
        <w:footnoteRef/>
      </w:r>
      <w:r>
        <w:t xml:space="preserve"> BP Statistical Review 2009, </w:t>
      </w:r>
      <w:r w:rsidRPr="00263222">
        <w:rPr>
          <w:i/>
        </w:rPr>
        <w:t>supra</w:t>
      </w:r>
      <w:r>
        <w:t xml:space="preserve"> note 2.  </w:t>
      </w:r>
    </w:p>
  </w:footnote>
  <w:footnote w:id="31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Statistics Norway, </w:t>
      </w:r>
      <w:r w:rsidRPr="008D1E3F">
        <w:rPr>
          <w:i/>
        </w:rPr>
        <w:t>supra</w:t>
      </w:r>
      <w:r>
        <w:t xml:space="preserve"> note 17.  </w:t>
      </w:r>
    </w:p>
  </w:footnote>
  <w:footnote w:id="32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Norwegian Ministry of Petroleum and Energy, </w:t>
      </w:r>
      <w:r w:rsidRPr="0097072C">
        <w:rPr>
          <w:i/>
        </w:rPr>
        <w:t>Research Policy within Energy and Petroleum</w:t>
      </w:r>
      <w:r>
        <w:t xml:space="preserve"> (2009), </w:t>
      </w:r>
      <w:hyperlink r:id="rId11" w:history="1">
        <w:r w:rsidRPr="00846CDC">
          <w:rPr>
            <w:rStyle w:val="Hyperlink"/>
          </w:rPr>
          <w:t>http://www.regjeringen.no/en/dep/oed/Subject/Energy-and-petroleum-research/research-policy-within-energy-and-petrol.html?id=443525</w:t>
        </w:r>
      </w:hyperlink>
      <w:r>
        <w:t>.</w:t>
      </w:r>
    </w:p>
  </w:footnote>
  <w:footnote w:id="33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See</w:t>
      </w:r>
      <w:r w:rsidR="002E18C1" w:rsidRPr="00634B3E">
        <w:rPr>
          <w:i/>
        </w:rPr>
        <w:t xml:space="preserve"> generally</w:t>
      </w:r>
      <w:r>
        <w:t xml:space="preserve"> NOU 1998:29, </w:t>
      </w:r>
      <w:r w:rsidRPr="006542F8">
        <w:rPr>
          <w:i/>
        </w:rPr>
        <w:t>Report to the Storting No. 29 on Norwegian Energy Policy</w:t>
      </w:r>
      <w:r>
        <w:t xml:space="preserve"> (1999), </w:t>
      </w:r>
      <w:r w:rsidRPr="003674A5">
        <w:rPr>
          <w:i/>
        </w:rPr>
        <w:t>available at</w:t>
      </w:r>
      <w:r>
        <w:t xml:space="preserve"> </w:t>
      </w:r>
      <w:hyperlink r:id="rId12" w:history="1">
        <w:r w:rsidRPr="00846CDC">
          <w:rPr>
            <w:rStyle w:val="Hyperlink"/>
          </w:rPr>
          <w:t>http://www.regjeringen.no/upload/kilde/oed/rap/2000/0003/ddd/pdfv/115861-eng_oversettelse_kap1_og_2.pdf</w:t>
        </w:r>
      </w:hyperlink>
      <w:r>
        <w:t>.</w:t>
      </w:r>
    </w:p>
  </w:footnote>
  <w:footnote w:id="34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E18C1" w:rsidRPr="00634B3E">
        <w:rPr>
          <w:i/>
        </w:rPr>
        <w:t>I</w:t>
      </w:r>
      <w:r w:rsidRPr="00634B3E">
        <w:rPr>
          <w:i/>
        </w:rPr>
        <w:t>d.</w:t>
      </w:r>
    </w:p>
  </w:footnote>
  <w:footnote w:id="35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36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Energy Statistics Administration, Official Energy Statistics from the U.S. Government (2008), </w:t>
      </w:r>
      <w:r w:rsidRPr="00C74386">
        <w:rPr>
          <w:i/>
        </w:rPr>
        <w:t>available at</w:t>
      </w:r>
      <w:r>
        <w:t xml:space="preserve"> </w:t>
      </w:r>
      <w:hyperlink r:id="rId13" w:history="1">
        <w:r w:rsidRPr="006C6EFF">
          <w:rPr>
            <w:rStyle w:val="Hyperlink"/>
          </w:rPr>
          <w:t>http://tonto.eia.doe.gov/cfapps/ipdbproject/IEDIndex3.cfm?tid=5&amp;pid=53&amp;aid=1</w:t>
        </w:r>
      </w:hyperlink>
      <w:r>
        <w:t xml:space="preserve"> (follow “international” hyperlink; then follow “Production-Annual” hyperlink).  </w:t>
      </w:r>
    </w:p>
  </w:footnote>
  <w:footnote w:id="37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Elizabeth Rosenthal,</w:t>
      </w:r>
      <w:r w:rsidRPr="00884FFA">
        <w:rPr>
          <w:i/>
        </w:rPr>
        <w:t xml:space="preserve"> A Carbon-Neutral Norway: Fine Print in the Plan</w:t>
      </w:r>
      <w:r>
        <w:t xml:space="preserve">, N.Y. Times, March 20, 2008, </w:t>
      </w:r>
      <w:r w:rsidRPr="00443659">
        <w:rPr>
          <w:i/>
        </w:rPr>
        <w:t>available at</w:t>
      </w:r>
      <w:r>
        <w:t xml:space="preserve"> </w:t>
      </w:r>
      <w:hyperlink r:id="rId14" w:history="1">
        <w:r w:rsidRPr="006C6EFF">
          <w:rPr>
            <w:rStyle w:val="Hyperlink"/>
          </w:rPr>
          <w:t>http://www.nytimes.com/2008/03/20/world/europe/20iht-norway.4.11294786.html</w:t>
        </w:r>
      </w:hyperlink>
      <w:r>
        <w:t xml:space="preserve">.  </w:t>
      </w:r>
    </w:p>
  </w:footnote>
  <w:footnote w:id="38">
    <w:p w:rsidR="00315D99" w:rsidRDefault="00315D99" w:rsidP="00D27EA2">
      <w:pPr>
        <w:pStyle w:val="FootnoteText"/>
      </w:pPr>
      <w:r>
        <w:rPr>
          <w:rStyle w:val="FootnoteReference"/>
        </w:rPr>
        <w:footnoteRef/>
      </w:r>
      <w:r>
        <w:t xml:space="preserve"> BP Statistical Review 2009, </w:t>
      </w:r>
      <w:r w:rsidRPr="00263222">
        <w:rPr>
          <w:i/>
        </w:rPr>
        <w:t>supra</w:t>
      </w:r>
      <w:r>
        <w:t xml:space="preserve"> note 2.</w:t>
      </w:r>
    </w:p>
  </w:footnote>
  <w:footnote w:id="39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Institute for the Analysis of Global Security, </w:t>
      </w:r>
      <w:r w:rsidRPr="008C5992">
        <w:rPr>
          <w:i/>
        </w:rPr>
        <w:t>North Sea Oil is Declining</w:t>
      </w:r>
      <w:r>
        <w:t xml:space="preserve">.  </w:t>
      </w:r>
    </w:p>
  </w:footnote>
  <w:footnote w:id="40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Parker Clote, </w:t>
      </w:r>
      <w:r w:rsidRPr="00E4010E">
        <w:rPr>
          <w:i/>
        </w:rPr>
        <w:t>Implications of Global Warming on State Sovereignty and Arctic Resources Under the United Nations Convention on the Law of the Sea</w:t>
      </w:r>
      <w:r>
        <w:rPr>
          <w:i/>
        </w:rPr>
        <w:t>: How the Arctic is no Longer Co</w:t>
      </w:r>
      <w:r w:rsidRPr="00E4010E">
        <w:rPr>
          <w:i/>
        </w:rPr>
        <w:t>mmunis Omnium Naturali Jure</w:t>
      </w:r>
      <w:r w:rsidRPr="00E4010E">
        <w:t xml:space="preserve">, </w:t>
      </w:r>
      <w:r w:rsidRPr="00E4010E">
        <w:rPr>
          <w:color w:val="000000"/>
        </w:rPr>
        <w:t xml:space="preserve">8 </w:t>
      </w:r>
      <w:r>
        <w:rPr>
          <w:color w:val="000000"/>
        </w:rPr>
        <w:t xml:space="preserve">Rich. J. Global L. &amp; Bus. </w:t>
      </w:r>
      <w:r w:rsidRPr="00A20709">
        <w:rPr>
          <w:color w:val="000000"/>
        </w:rPr>
        <w:t>195, 199</w:t>
      </w:r>
      <w:r>
        <w:rPr>
          <w:color w:val="000000"/>
        </w:rPr>
        <w:t xml:space="preserve"> (2008)</w:t>
      </w:r>
      <w:r>
        <w:t>.</w:t>
      </w:r>
    </w:p>
  </w:footnote>
  <w:footnote w:id="41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678E">
        <w:rPr>
          <w:color w:val="000000"/>
        </w:rPr>
        <w:t>Hans H. Hertell</w:t>
      </w:r>
      <w:r>
        <w:t xml:space="preserve">, </w:t>
      </w:r>
      <w:r w:rsidRPr="004D1219">
        <w:rPr>
          <w:i/>
        </w:rPr>
        <w:t>Arctic Melt: The Tipping Point for an Arctic Treaty</w:t>
      </w:r>
      <w:r>
        <w:t xml:space="preserve">, 21 Geo. Int’l Envtl. L. Rev. 565, 566 (2009).  </w:t>
      </w:r>
    </w:p>
  </w:footnote>
  <w:footnote w:id="42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Continental Shelf Submission of </w:t>
      </w:r>
      <w:r w:rsidRPr="00B12F4B">
        <w:t>Norway</w:t>
      </w:r>
      <w:r>
        <w:t>: Executive Summary (2006)</w:t>
      </w:r>
      <w:r w:rsidRPr="00B12F4B">
        <w:t xml:space="preserve">, </w:t>
      </w:r>
      <w:r w:rsidRPr="008F2B7F">
        <w:rPr>
          <w:i/>
        </w:rPr>
        <w:t>available at</w:t>
      </w:r>
      <w:r>
        <w:t xml:space="preserve"> </w:t>
      </w:r>
      <w:hyperlink r:id="rId15" w:history="1">
        <w:r w:rsidRPr="006C6EFF">
          <w:rPr>
            <w:rStyle w:val="Hyperlink"/>
          </w:rPr>
          <w:t>http://www.un.org/Depts/los/clcs_new/submissions_files/nor06/nor_exec_sum.pdf</w:t>
        </w:r>
      </w:hyperlink>
      <w:r>
        <w:t xml:space="preserve">.  </w:t>
      </w:r>
    </w:p>
  </w:footnote>
  <w:footnote w:id="43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  <w:r>
        <w:t xml:space="preserve"> at 6.  </w:t>
      </w:r>
    </w:p>
  </w:footnote>
  <w:footnote w:id="44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Clote at 225</w:t>
      </w:r>
      <w:r>
        <w:t xml:space="preserve">, </w:t>
      </w:r>
      <w:r w:rsidRPr="00263222">
        <w:rPr>
          <w:i/>
        </w:rPr>
        <w:t>supra</w:t>
      </w:r>
      <w:r>
        <w:t xml:space="preserve"> note 39</w:t>
      </w:r>
      <w:r>
        <w:rPr>
          <w:color w:val="000000"/>
        </w:rPr>
        <w:t>.</w:t>
      </w:r>
    </w:p>
  </w:footnote>
  <w:footnote w:id="45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Bazilchuk , </w:t>
      </w:r>
      <w:r w:rsidRPr="00263222">
        <w:rPr>
          <w:i/>
        </w:rPr>
        <w:t>supra</w:t>
      </w:r>
      <w:r>
        <w:t xml:space="preserve"> note 28.</w:t>
      </w:r>
    </w:p>
  </w:footnote>
  <w:footnote w:id="46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" w:history="1">
        <w:r w:rsidRPr="006C6EFF">
          <w:rPr>
            <w:rStyle w:val="Hyperlink"/>
          </w:rPr>
          <w:t>http://www.statoilhydro.com/en/NewsAndMedia/News/2008/Pages/C02Capture10000.aspx</w:t>
        </w:r>
      </w:hyperlink>
      <w:r>
        <w:t>.</w:t>
      </w:r>
    </w:p>
  </w:footnote>
  <w:footnote w:id="47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48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StatOilHydro, </w:t>
      </w:r>
      <w:r w:rsidRPr="0023597D">
        <w:rPr>
          <w:i/>
        </w:rPr>
        <w:t xml:space="preserve">Storing 10 </w:t>
      </w:r>
      <w:r>
        <w:rPr>
          <w:i/>
        </w:rPr>
        <w:t xml:space="preserve">Million </w:t>
      </w:r>
      <w:r w:rsidRPr="0023597D">
        <w:rPr>
          <w:i/>
        </w:rPr>
        <w:t>Tonnes of CO2</w:t>
      </w:r>
      <w:r>
        <w:t xml:space="preserve"> (2008), </w:t>
      </w:r>
      <w:r w:rsidRPr="009E3B1D">
        <w:rPr>
          <w:i/>
        </w:rPr>
        <w:t>available at</w:t>
      </w:r>
      <w:r>
        <w:t xml:space="preserve"> </w:t>
      </w:r>
      <w:hyperlink r:id="rId17" w:history="1">
        <w:r w:rsidRPr="00846CDC">
          <w:rPr>
            <w:rStyle w:val="Hyperlink"/>
          </w:rPr>
          <w:t>http://www.statoilhydro.com/en/TechnologyInnovation/ProtectingTheEnvironment/CarboncaptureAndStorage/Pages/CaptureAndStorageSnohvit.aspx</w:t>
        </w:r>
      </w:hyperlink>
      <w:r>
        <w:t xml:space="preserve">.  </w:t>
      </w:r>
    </w:p>
  </w:footnote>
  <w:footnote w:id="49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634B3E">
        <w:rPr>
          <w:i/>
        </w:rPr>
        <w:t>Id.</w:t>
      </w:r>
    </w:p>
  </w:footnote>
  <w:footnote w:id="50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Research Council of Norway, </w:t>
      </w:r>
      <w:r w:rsidRPr="00EA20C5">
        <w:rPr>
          <w:bCs/>
          <w:i/>
        </w:rPr>
        <w:t>Work Programme for the Research Programme on Power Generation with Carbon Capture and Storage (CLIMIT) 2006-2009</w:t>
      </w:r>
      <w:r>
        <w:rPr>
          <w:bCs/>
        </w:rPr>
        <w:t xml:space="preserve"> (2008), </w:t>
      </w:r>
      <w:r w:rsidRPr="00940636">
        <w:rPr>
          <w:bCs/>
          <w:i/>
        </w:rPr>
        <w:t>available at</w:t>
      </w:r>
      <w:r>
        <w:rPr>
          <w:bCs/>
        </w:rPr>
        <w:t xml:space="preserve"> </w:t>
      </w:r>
      <w:hyperlink r:id="rId18" w:history="1">
        <w:r w:rsidRPr="006C6EFF">
          <w:rPr>
            <w:rStyle w:val="Hyperlink"/>
            <w:bCs/>
          </w:rPr>
          <w:t>http://www.climit.no/frontend/files/CONTENT/CLIMIT_programplan_rev_nov2008_eng-v02.pdf</w:t>
        </w:r>
      </w:hyperlink>
      <w:r>
        <w:rPr>
          <w:bCs/>
        </w:rPr>
        <w:t xml:space="preserve">.  </w:t>
      </w:r>
    </w:p>
  </w:footnote>
  <w:footnote w:id="51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bCs/>
          <w:i/>
        </w:rPr>
        <w:t>Id.</w:t>
      </w:r>
      <w:r>
        <w:rPr>
          <w:bCs/>
        </w:rPr>
        <w:t xml:space="preserve"> at 6.  </w:t>
      </w:r>
    </w:p>
  </w:footnote>
  <w:footnote w:id="52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Cs/>
        </w:rPr>
        <w:t>Bazilchuk</w:t>
      </w:r>
      <w:r>
        <w:t xml:space="preserve">, </w:t>
      </w:r>
      <w:r w:rsidRPr="00263222">
        <w:rPr>
          <w:i/>
        </w:rPr>
        <w:t>supra</w:t>
      </w:r>
      <w:r>
        <w:t xml:space="preserve"> note 28.</w:t>
      </w:r>
      <w:r>
        <w:rPr>
          <w:bCs/>
        </w:rPr>
        <w:t xml:space="preserve">  </w:t>
      </w:r>
    </w:p>
  </w:footnote>
  <w:footnote w:id="53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NOU 1998:29, </w:t>
      </w:r>
      <w:r>
        <w:rPr>
          <w:i/>
        </w:rPr>
        <w:t>supra</w:t>
      </w:r>
      <w:r>
        <w:t xml:space="preserve"> note 32.  </w:t>
      </w:r>
    </w:p>
  </w:footnote>
  <w:footnote w:id="54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Criscione, </w:t>
      </w:r>
      <w:r w:rsidRPr="00263222">
        <w:rPr>
          <w:i/>
        </w:rPr>
        <w:t>supra</w:t>
      </w:r>
      <w:r>
        <w:t xml:space="preserve"> note 16.  </w:t>
      </w:r>
    </w:p>
  </w:footnote>
  <w:footnote w:id="55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Hammerfest Strøm Homepage, </w:t>
      </w:r>
      <w:r w:rsidRPr="005D1257">
        <w:rPr>
          <w:i/>
        </w:rPr>
        <w:t>available at</w:t>
      </w:r>
      <w:r>
        <w:t xml:space="preserve"> </w:t>
      </w:r>
      <w:hyperlink r:id="rId19" w:history="1">
        <w:r w:rsidRPr="006C6EFF">
          <w:rPr>
            <w:rStyle w:val="Hyperlink"/>
          </w:rPr>
          <w:t>http://www.hammerfeststrom.com/index.php?lang=en</w:t>
        </w:r>
      </w:hyperlink>
      <w:r>
        <w:t xml:space="preserve">.  </w:t>
      </w:r>
    </w:p>
  </w:footnote>
  <w:footnote w:id="56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WAVEnergy Homepage, </w:t>
      </w:r>
      <w:r w:rsidRPr="00A25062">
        <w:rPr>
          <w:i/>
        </w:rPr>
        <w:t>available at</w:t>
      </w:r>
      <w:r>
        <w:t xml:space="preserve"> </w:t>
      </w:r>
      <w:hyperlink r:id="rId20" w:history="1">
        <w:r w:rsidRPr="00A57E39">
          <w:rPr>
            <w:rStyle w:val="Hyperlink"/>
          </w:rPr>
          <w:t>http://waveenergy.no/technology_innovation/</w:t>
        </w:r>
      </w:hyperlink>
      <w:r>
        <w:t xml:space="preserve">.  </w:t>
      </w:r>
    </w:p>
  </w:footnote>
  <w:footnote w:id="57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634B3E">
        <w:rPr>
          <w:i/>
        </w:rPr>
        <w:t>Id.</w:t>
      </w:r>
    </w:p>
  </w:footnote>
  <w:footnote w:id="58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Atle Valseth, Institute for Energy Technology, </w:t>
      </w:r>
      <w:r w:rsidRPr="005744B9">
        <w:rPr>
          <w:i/>
        </w:rPr>
        <w:t>Renewed License for IFE’s Nuclear Facilities</w:t>
      </w:r>
      <w:r>
        <w:t xml:space="preserve"> (2008), </w:t>
      </w:r>
      <w:hyperlink r:id="rId21" w:history="1">
        <w:r w:rsidRPr="004F551C">
          <w:rPr>
            <w:rStyle w:val="Hyperlink"/>
          </w:rPr>
          <w:t>http://www.ife.no/ife_news/2008/licence2008</w:t>
        </w:r>
      </w:hyperlink>
      <w:r>
        <w:t xml:space="preserve">.  </w:t>
      </w:r>
    </w:p>
  </w:footnote>
  <w:footnote w:id="59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Norwegian Thorium Report Committee, </w:t>
      </w:r>
      <w:r w:rsidRPr="00614EB0">
        <w:rPr>
          <w:i/>
        </w:rPr>
        <w:t>supra</w:t>
      </w:r>
      <w:r>
        <w:t xml:space="preserve"> note 12</w:t>
      </w:r>
      <w:r w:rsidRPr="00316814">
        <w:t xml:space="preserve">.  </w:t>
      </w:r>
    </w:p>
  </w:footnote>
  <w:footnote w:id="60">
    <w:p w:rsidR="00315D99" w:rsidRDefault="00315D99" w:rsidP="008C4697">
      <w:pPr>
        <w:pStyle w:val="FootnoteText"/>
      </w:pPr>
      <w:r>
        <w:rPr>
          <w:rStyle w:val="FootnoteReference"/>
        </w:rPr>
        <w:footnoteRef/>
      </w:r>
      <w:r>
        <w:t xml:space="preserve"> Liz Williams, </w:t>
      </w:r>
      <w:r w:rsidRPr="00140A15">
        <w:rPr>
          <w:i/>
        </w:rPr>
        <w:t>Green Nuclear Power Coming to Norway</w:t>
      </w:r>
      <w:r>
        <w:t xml:space="preserve">, </w:t>
      </w:r>
      <w:r w:rsidRPr="00316814">
        <w:t>Cosmos Online</w:t>
      </w:r>
      <w:r>
        <w:t xml:space="preserve">, </w:t>
      </w:r>
      <w:r w:rsidRPr="00316814">
        <w:t xml:space="preserve">May </w:t>
      </w:r>
      <w:r>
        <w:t xml:space="preserve">24, </w:t>
      </w:r>
      <w:r w:rsidRPr="00316814">
        <w:t>2007</w:t>
      </w:r>
      <w:r>
        <w:t xml:space="preserve">, </w:t>
      </w:r>
      <w:hyperlink r:id="rId22" w:history="1">
        <w:r w:rsidRPr="004F551C">
          <w:rPr>
            <w:rStyle w:val="Hyperlink"/>
          </w:rPr>
          <w:t>http://www.cosmosmagazine.com/news/1341/green-nuclear-power-coming-norway</w:t>
        </w:r>
      </w:hyperlink>
      <w:r>
        <w:t>.</w:t>
      </w:r>
    </w:p>
  </w:footnote>
  <w:footnote w:id="61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Norwegian Thorium Report Committee, </w:t>
      </w:r>
      <w:r w:rsidRPr="00614EB0">
        <w:rPr>
          <w:i/>
        </w:rPr>
        <w:t>supra</w:t>
      </w:r>
      <w:r>
        <w:t xml:space="preserve"> note 12 at 106.</w:t>
      </w:r>
      <w:r w:rsidRPr="00316814">
        <w:t xml:space="preserve">  </w:t>
      </w:r>
    </w:p>
  </w:footnote>
  <w:footnote w:id="62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Tore Oksholen, </w:t>
      </w:r>
      <w:r w:rsidRPr="00EA621A">
        <w:rPr>
          <w:i/>
        </w:rPr>
        <w:t>New Solar Cells See the Light</w:t>
      </w:r>
      <w:r>
        <w:t xml:space="preserve"> (2006), </w:t>
      </w:r>
      <w:r w:rsidRPr="00E65FE7">
        <w:rPr>
          <w:i/>
        </w:rPr>
        <w:t>available at</w:t>
      </w:r>
      <w:r>
        <w:t xml:space="preserve"> </w:t>
      </w:r>
      <w:hyperlink r:id="rId23" w:history="1">
        <w:r w:rsidRPr="004F551C">
          <w:rPr>
            <w:rStyle w:val="Hyperlink"/>
          </w:rPr>
          <w:t>http://www.ntnu.no/gemini/2006-01e/solarcells.htm</w:t>
        </w:r>
      </w:hyperlink>
      <w:r>
        <w:t xml:space="preserve">.  </w:t>
      </w:r>
    </w:p>
  </w:footnote>
  <w:footnote w:id="63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64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65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Alister Doyle, </w:t>
      </w:r>
      <w:r w:rsidRPr="00CE1FE0">
        <w:rPr>
          <w:i/>
        </w:rPr>
        <w:t>Wind Power Could Make Norway “Europe’s Battery”</w:t>
      </w:r>
      <w:r>
        <w:t xml:space="preserve">, Reuters May 26, 2008, </w:t>
      </w:r>
      <w:r w:rsidRPr="00CE1FE0">
        <w:rPr>
          <w:i/>
        </w:rPr>
        <w:t>available at</w:t>
      </w:r>
      <w:r>
        <w:t xml:space="preserve"> </w:t>
      </w:r>
      <w:hyperlink r:id="rId24" w:history="1">
        <w:r w:rsidRPr="001F66AC">
          <w:rPr>
            <w:rStyle w:val="Hyperlink"/>
          </w:rPr>
          <w:t>http://www.reuters.com/article/rbssEnergyNews/idUSL2648359020080526</w:t>
        </w:r>
      </w:hyperlink>
      <w:r>
        <w:t xml:space="preserve">.  </w:t>
      </w:r>
    </w:p>
  </w:footnote>
  <w:footnote w:id="66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REEUN, </w:t>
      </w:r>
      <w:r w:rsidRPr="00263222">
        <w:rPr>
          <w:i/>
        </w:rPr>
        <w:t>supra</w:t>
      </w:r>
      <w:r>
        <w:t xml:space="preserve"> note 8 at 2.4.1.</w:t>
      </w:r>
    </w:p>
  </w:footnote>
  <w:footnote w:id="67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68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Bazilchuk, </w:t>
      </w:r>
      <w:r w:rsidRPr="00263222">
        <w:rPr>
          <w:i/>
        </w:rPr>
        <w:t>supra</w:t>
      </w:r>
      <w:r>
        <w:t xml:space="preserve"> note 28.  </w:t>
      </w:r>
    </w:p>
  </w:footnote>
  <w:footnote w:id="69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70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71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Criscione, </w:t>
      </w:r>
      <w:r w:rsidRPr="00263222">
        <w:rPr>
          <w:i/>
        </w:rPr>
        <w:t>supra</w:t>
      </w:r>
      <w:r>
        <w:t xml:space="preserve"> note 16.  </w:t>
      </w:r>
    </w:p>
  </w:footnote>
  <w:footnote w:id="72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Norwegian Center for Offshore Wind Energy Homepage, </w:t>
      </w:r>
      <w:hyperlink r:id="rId25" w:history="1">
        <w:r w:rsidRPr="006C6EFF">
          <w:rPr>
            <w:rStyle w:val="Hyperlink"/>
          </w:rPr>
          <w:t>http://www.norcowe.no/index.cfm?id=229099</w:t>
        </w:r>
      </w:hyperlink>
      <w:r>
        <w:t xml:space="preserve">.  </w:t>
      </w:r>
    </w:p>
  </w:footnote>
  <w:footnote w:id="73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ScanWind homepage, </w:t>
      </w:r>
      <w:hyperlink r:id="rId26" w:history="1">
        <w:r w:rsidRPr="001F66AC">
          <w:rPr>
            <w:rStyle w:val="Hyperlink"/>
          </w:rPr>
          <w:t>http://www.scanwind.com/</w:t>
        </w:r>
      </w:hyperlink>
      <w:r>
        <w:t xml:space="preserve">.  </w:t>
      </w:r>
    </w:p>
  </w:footnote>
  <w:footnote w:id="74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Criscione, </w:t>
      </w:r>
      <w:r w:rsidRPr="00263222">
        <w:rPr>
          <w:i/>
        </w:rPr>
        <w:t>supra</w:t>
      </w:r>
      <w:r>
        <w:t xml:space="preserve"> note 16.  </w:t>
      </w:r>
    </w:p>
  </w:footnote>
  <w:footnote w:id="75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HyWind Homepage, </w:t>
      </w:r>
      <w:hyperlink r:id="rId27" w:history="1">
        <w:r w:rsidRPr="006C6EFF">
          <w:rPr>
            <w:rStyle w:val="Hyperlink"/>
          </w:rPr>
          <w:t>http://www.statoilhydro.com/en/TechnologyInnovation/NewEnergy/RenewablePowerProduction/Onshore/Pages/Karmoy.aspx</w:t>
        </w:r>
      </w:hyperlink>
      <w:r>
        <w:t xml:space="preserve">.  </w:t>
      </w:r>
    </w:p>
  </w:footnote>
  <w:footnote w:id="76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Norwegian Ministry of Petroleum and Energy, </w:t>
      </w:r>
      <w:r w:rsidRPr="009A2289">
        <w:rPr>
          <w:i/>
        </w:rPr>
        <w:t>Opening of HyWind</w:t>
      </w:r>
      <w:r>
        <w:t xml:space="preserve">, September 9, 2009, </w:t>
      </w:r>
      <w:hyperlink r:id="rId28" w:history="1">
        <w:r w:rsidRPr="001F66AC">
          <w:rPr>
            <w:rStyle w:val="Hyperlink"/>
          </w:rPr>
          <w:t>http://www.regjeringen.no/en/dep/oed/press-center/Press-releases/2009/opening-of-hywind--the-worlds-first-full.html?id=575870</w:t>
        </w:r>
      </w:hyperlink>
      <w:r>
        <w:t xml:space="preserve">.  </w:t>
      </w:r>
    </w:p>
  </w:footnote>
  <w:footnote w:id="77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SWAY Market Potential, </w:t>
      </w:r>
      <w:hyperlink r:id="rId29" w:history="1">
        <w:r w:rsidRPr="001F66AC">
          <w:rPr>
            <w:rStyle w:val="Hyperlink"/>
          </w:rPr>
          <w:t>http://sway.no/index.php?id=15</w:t>
        </w:r>
      </w:hyperlink>
      <w:r>
        <w:t xml:space="preserve">.  </w:t>
      </w:r>
    </w:p>
  </w:footnote>
  <w:footnote w:id="78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Principles of the SWAY System, </w:t>
      </w:r>
      <w:hyperlink r:id="rId30" w:history="1">
        <w:r w:rsidRPr="001F66AC">
          <w:rPr>
            <w:rStyle w:val="Hyperlink"/>
          </w:rPr>
          <w:t>http://sway.no/index.php?id=16</w:t>
        </w:r>
      </w:hyperlink>
      <w:r>
        <w:t xml:space="preserve">.  </w:t>
      </w:r>
    </w:p>
  </w:footnote>
  <w:footnote w:id="79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See</w:t>
      </w:r>
      <w:r>
        <w:t xml:space="preserve"> Bazilchuk, </w:t>
      </w:r>
      <w:r w:rsidRPr="00263222">
        <w:rPr>
          <w:i/>
        </w:rPr>
        <w:t>supra</w:t>
      </w:r>
      <w:r>
        <w:t xml:space="preserve"> note 28.  </w:t>
      </w:r>
    </w:p>
  </w:footnote>
  <w:footnote w:id="80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81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SINTEF, </w:t>
      </w:r>
      <w:r w:rsidRPr="00F742B3">
        <w:rPr>
          <w:i/>
        </w:rPr>
        <w:t>Wind- On Land and Offshore</w:t>
      </w:r>
      <w:r>
        <w:t xml:space="preserve">, April 30, 2009, </w:t>
      </w:r>
      <w:hyperlink r:id="rId31" w:history="1">
        <w:r w:rsidRPr="006C6EFF">
          <w:rPr>
            <w:rStyle w:val="Hyperlink"/>
          </w:rPr>
          <w:t>http://www.sintef.no/Home/Petroleum-and-Energy/SINTEF-Energy-Research/Expertise/Wind/</w:t>
        </w:r>
      </w:hyperlink>
      <w:r>
        <w:t xml:space="preserve">.  </w:t>
      </w:r>
    </w:p>
  </w:footnote>
  <w:footnote w:id="82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REEUN, </w:t>
      </w:r>
      <w:r w:rsidRPr="00263222">
        <w:rPr>
          <w:i/>
        </w:rPr>
        <w:t>supra</w:t>
      </w:r>
      <w:r>
        <w:t xml:space="preserve"> note 8 at 2.4.1.</w:t>
      </w:r>
    </w:p>
  </w:footnote>
  <w:footnote w:id="83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84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Cato Buch, </w:t>
      </w:r>
      <w:r w:rsidRPr="000652BE">
        <w:rPr>
          <w:i/>
        </w:rPr>
        <w:t>Hydrogen Highway Opens in Norway</w:t>
      </w:r>
      <w:r>
        <w:t xml:space="preserve">, May 11, 2009, </w:t>
      </w:r>
      <w:r w:rsidRPr="000652BE">
        <w:rPr>
          <w:i/>
        </w:rPr>
        <w:t>available at</w:t>
      </w:r>
      <w:r>
        <w:t xml:space="preserve"> </w:t>
      </w:r>
      <w:hyperlink r:id="rId32" w:history="1">
        <w:r w:rsidRPr="006C6EFF">
          <w:rPr>
            <w:rStyle w:val="Hyperlink"/>
          </w:rPr>
          <w:t>http://www.hynor.no/hydrogen-highway-opens-in-norway</w:t>
        </w:r>
      </w:hyperlink>
      <w:r>
        <w:t xml:space="preserve">.  </w:t>
      </w:r>
    </w:p>
  </w:footnote>
  <w:footnote w:id="85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86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Hydrogen Cars Now Homepage, </w:t>
      </w:r>
      <w:hyperlink r:id="rId33" w:history="1">
        <w:r w:rsidRPr="004F551C">
          <w:rPr>
            <w:rStyle w:val="Hyperlink"/>
          </w:rPr>
          <w:t>http://www.hydrogencarsnow.com/norway-hynor-project.htm</w:t>
        </w:r>
      </w:hyperlink>
      <w:r>
        <w:t xml:space="preserve">.  </w:t>
      </w:r>
    </w:p>
  </w:footnote>
  <w:footnote w:id="87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88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Mazda HyNor Homepage, </w:t>
      </w:r>
      <w:hyperlink r:id="rId34" w:history="1">
        <w:r w:rsidRPr="004F551C">
          <w:rPr>
            <w:rStyle w:val="Hyperlink"/>
          </w:rPr>
          <w:t>http://www.mazda.com/csr/special_features/env/01-06-02.html</w:t>
        </w:r>
      </w:hyperlink>
      <w:r>
        <w:t xml:space="preserve">.  </w:t>
      </w:r>
    </w:p>
  </w:footnote>
  <w:footnote w:id="89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90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Norwegian Embassy, </w:t>
      </w:r>
      <w:r w:rsidRPr="001178E7">
        <w:rPr>
          <w:i/>
        </w:rPr>
        <w:t>Taxes in Norway</w:t>
      </w:r>
      <w:r>
        <w:t xml:space="preserve">, </w:t>
      </w:r>
      <w:hyperlink r:id="rId35" w:history="1">
        <w:r w:rsidRPr="004F551C">
          <w:rPr>
            <w:rStyle w:val="Hyperlink"/>
          </w:rPr>
          <w:t>http://www.norway.org.uk/Embassy/faq/tax/</w:t>
        </w:r>
      </w:hyperlink>
      <w:r>
        <w:t xml:space="preserve">.  </w:t>
      </w:r>
    </w:p>
  </w:footnote>
  <w:footnote w:id="91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Rosenthal, </w:t>
      </w:r>
      <w:r w:rsidRPr="00775B0E">
        <w:rPr>
          <w:i/>
        </w:rPr>
        <w:t>supra</w:t>
      </w:r>
      <w:r>
        <w:t xml:space="preserve"> note 36.  </w:t>
      </w:r>
    </w:p>
  </w:footnote>
  <w:footnote w:id="92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Norwegian Ministry of Petroleum and Energy, </w:t>
      </w:r>
      <w:r w:rsidRPr="007C4961">
        <w:rPr>
          <w:i/>
        </w:rPr>
        <w:t>Norwegian Government with Big Effort for Renewable Energy</w:t>
      </w:r>
      <w:r>
        <w:t xml:space="preserve">, June 14, 2006, </w:t>
      </w:r>
      <w:hyperlink r:id="rId36" w:history="1">
        <w:r w:rsidRPr="00770949">
          <w:rPr>
            <w:rStyle w:val="Hyperlink"/>
          </w:rPr>
          <w:t>http://www.regjeringen.no/en/dep/oed/press-center/Press-releases/2006/Norwegian-government-with-big-effort-for-renewable-energy.html?id=419892</w:t>
        </w:r>
      </w:hyperlink>
      <w:r>
        <w:t xml:space="preserve">.  </w:t>
      </w:r>
    </w:p>
  </w:footnote>
  <w:footnote w:id="93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Statkraft, </w:t>
      </w:r>
      <w:r w:rsidRPr="00B638EB">
        <w:rPr>
          <w:i/>
        </w:rPr>
        <w:t>District Heating</w:t>
      </w:r>
      <w:r>
        <w:t xml:space="preserve">, </w:t>
      </w:r>
      <w:hyperlink r:id="rId37" w:history="1">
        <w:r w:rsidRPr="00770949">
          <w:rPr>
            <w:rStyle w:val="Hyperlink"/>
          </w:rPr>
          <w:t>http://www.statkraft.com/Images/District%20heating_tcm9-2938.pdf</w:t>
        </w:r>
      </w:hyperlink>
      <w:r>
        <w:t xml:space="preserve">.  </w:t>
      </w:r>
    </w:p>
  </w:footnote>
  <w:footnote w:id="94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95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Thompson Reuters, </w:t>
      </w:r>
      <w:r w:rsidRPr="00E60D27">
        <w:rPr>
          <w:i/>
        </w:rPr>
        <w:t>Energy Design Update</w:t>
      </w:r>
      <w:r>
        <w:t xml:space="preserve">, June 2006, 26 No. 6 Energy Design Update 3.  </w:t>
      </w:r>
    </w:p>
  </w:footnote>
  <w:footnote w:id="96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REEUN, </w:t>
      </w:r>
      <w:r w:rsidRPr="00263222">
        <w:rPr>
          <w:i/>
        </w:rPr>
        <w:t>supra</w:t>
      </w:r>
      <w:r>
        <w:t xml:space="preserve"> note 8 at 2.4.2.  </w:t>
      </w:r>
    </w:p>
  </w:footnote>
  <w:footnote w:id="97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  <w:footnote w:id="98">
    <w:p w:rsidR="00315D99" w:rsidRDefault="00315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B3E">
        <w:rPr>
          <w:i/>
        </w:rPr>
        <w:t>Id.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99" w:rsidRDefault="00315D99" w:rsidP="0091145E">
    <w:pPr>
      <w:pStyle w:val="Header"/>
    </w:pPr>
    <w:r>
      <w:t>Richard Kamprath</w:t>
    </w:r>
    <w:r>
      <w:tab/>
    </w:r>
    <w:r>
      <w:tab/>
      <w:t>03186637</w:t>
    </w:r>
  </w:p>
  <w:p w:rsidR="00315D99" w:rsidRDefault="005D58A2" w:rsidP="0091145E">
    <w:pPr>
      <w:pStyle w:val="Header"/>
      <w:pBdr>
        <w:bottom w:val="single" w:sz="12" w:space="1" w:color="auto"/>
      </w:pBdr>
    </w:pPr>
    <w:r>
      <w:t>Oil and</w:t>
    </w:r>
    <w:r w:rsidR="00315D99">
      <w:t xml:space="preserve"> Gas Contracts</w:t>
    </w:r>
    <w:r>
      <w:t>- Lowe</w:t>
    </w:r>
    <w:r w:rsidR="00315D99">
      <w:tab/>
    </w:r>
    <w:r w:rsidR="00315D99">
      <w:tab/>
      <w:t>Fall 2009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42E"/>
    <w:rsid w:val="0000221E"/>
    <w:rsid w:val="00002371"/>
    <w:rsid w:val="000065A7"/>
    <w:rsid w:val="00007E16"/>
    <w:rsid w:val="00010616"/>
    <w:rsid w:val="00010D16"/>
    <w:rsid w:val="00012B68"/>
    <w:rsid w:val="00015B17"/>
    <w:rsid w:val="00020C2D"/>
    <w:rsid w:val="00025D15"/>
    <w:rsid w:val="00026910"/>
    <w:rsid w:val="000277D4"/>
    <w:rsid w:val="00030AC3"/>
    <w:rsid w:val="00036577"/>
    <w:rsid w:val="00040122"/>
    <w:rsid w:val="000403A3"/>
    <w:rsid w:val="00041A06"/>
    <w:rsid w:val="00046FB0"/>
    <w:rsid w:val="00050687"/>
    <w:rsid w:val="00050863"/>
    <w:rsid w:val="0005217A"/>
    <w:rsid w:val="00053837"/>
    <w:rsid w:val="000564EA"/>
    <w:rsid w:val="0005708D"/>
    <w:rsid w:val="00060FB0"/>
    <w:rsid w:val="000636B1"/>
    <w:rsid w:val="000638E7"/>
    <w:rsid w:val="000652BE"/>
    <w:rsid w:val="0006665F"/>
    <w:rsid w:val="00070B7D"/>
    <w:rsid w:val="00070CF1"/>
    <w:rsid w:val="00072C5C"/>
    <w:rsid w:val="00072C9C"/>
    <w:rsid w:val="00074993"/>
    <w:rsid w:val="00082C10"/>
    <w:rsid w:val="0008350F"/>
    <w:rsid w:val="0008586E"/>
    <w:rsid w:val="00087B0C"/>
    <w:rsid w:val="00091388"/>
    <w:rsid w:val="00091D88"/>
    <w:rsid w:val="000932BF"/>
    <w:rsid w:val="00093419"/>
    <w:rsid w:val="000936A7"/>
    <w:rsid w:val="00093B73"/>
    <w:rsid w:val="00095B8D"/>
    <w:rsid w:val="00096E69"/>
    <w:rsid w:val="000A070C"/>
    <w:rsid w:val="000A09DF"/>
    <w:rsid w:val="000A0A35"/>
    <w:rsid w:val="000A3B0E"/>
    <w:rsid w:val="000A3B3C"/>
    <w:rsid w:val="000A57A4"/>
    <w:rsid w:val="000B3248"/>
    <w:rsid w:val="000B5A97"/>
    <w:rsid w:val="000B773C"/>
    <w:rsid w:val="000B7CE8"/>
    <w:rsid w:val="000C30A0"/>
    <w:rsid w:val="000C44A8"/>
    <w:rsid w:val="000C53EB"/>
    <w:rsid w:val="000C777E"/>
    <w:rsid w:val="000D0F6A"/>
    <w:rsid w:val="000D31A5"/>
    <w:rsid w:val="000D3BAF"/>
    <w:rsid w:val="000D41D1"/>
    <w:rsid w:val="000D56E4"/>
    <w:rsid w:val="000D5BD1"/>
    <w:rsid w:val="000E13E3"/>
    <w:rsid w:val="000E17A4"/>
    <w:rsid w:val="000E4C96"/>
    <w:rsid w:val="000E6C7A"/>
    <w:rsid w:val="000E74B9"/>
    <w:rsid w:val="000F0377"/>
    <w:rsid w:val="000F1359"/>
    <w:rsid w:val="000F18D2"/>
    <w:rsid w:val="000F31F2"/>
    <w:rsid w:val="000F5908"/>
    <w:rsid w:val="000F7D19"/>
    <w:rsid w:val="00101879"/>
    <w:rsid w:val="00103505"/>
    <w:rsid w:val="00103ADA"/>
    <w:rsid w:val="00103E7F"/>
    <w:rsid w:val="00107D2F"/>
    <w:rsid w:val="00110F2F"/>
    <w:rsid w:val="00111496"/>
    <w:rsid w:val="001149FB"/>
    <w:rsid w:val="00114A43"/>
    <w:rsid w:val="00115620"/>
    <w:rsid w:val="001165FC"/>
    <w:rsid w:val="001178E7"/>
    <w:rsid w:val="00123E51"/>
    <w:rsid w:val="00124260"/>
    <w:rsid w:val="00130E6A"/>
    <w:rsid w:val="0013423C"/>
    <w:rsid w:val="001342B2"/>
    <w:rsid w:val="0013524A"/>
    <w:rsid w:val="00136ADC"/>
    <w:rsid w:val="00140A15"/>
    <w:rsid w:val="001410AB"/>
    <w:rsid w:val="00141BB8"/>
    <w:rsid w:val="00141F24"/>
    <w:rsid w:val="00143F37"/>
    <w:rsid w:val="001536DA"/>
    <w:rsid w:val="001568F0"/>
    <w:rsid w:val="00160A28"/>
    <w:rsid w:val="00161324"/>
    <w:rsid w:val="00162815"/>
    <w:rsid w:val="001647C9"/>
    <w:rsid w:val="00164BA5"/>
    <w:rsid w:val="00164BE1"/>
    <w:rsid w:val="00164F22"/>
    <w:rsid w:val="00164FDC"/>
    <w:rsid w:val="001700CC"/>
    <w:rsid w:val="001725A0"/>
    <w:rsid w:val="00174C29"/>
    <w:rsid w:val="00175679"/>
    <w:rsid w:val="00177A59"/>
    <w:rsid w:val="00177A87"/>
    <w:rsid w:val="001802C1"/>
    <w:rsid w:val="0018359A"/>
    <w:rsid w:val="00185D88"/>
    <w:rsid w:val="00186146"/>
    <w:rsid w:val="001861BA"/>
    <w:rsid w:val="00186FF5"/>
    <w:rsid w:val="001907F1"/>
    <w:rsid w:val="0019170E"/>
    <w:rsid w:val="00191924"/>
    <w:rsid w:val="00192010"/>
    <w:rsid w:val="001937C9"/>
    <w:rsid w:val="001A09B3"/>
    <w:rsid w:val="001A75CF"/>
    <w:rsid w:val="001B025A"/>
    <w:rsid w:val="001B26C4"/>
    <w:rsid w:val="001B2E08"/>
    <w:rsid w:val="001B5B43"/>
    <w:rsid w:val="001B6E40"/>
    <w:rsid w:val="001B74F5"/>
    <w:rsid w:val="001C0470"/>
    <w:rsid w:val="001C15E4"/>
    <w:rsid w:val="001C2889"/>
    <w:rsid w:val="001C4159"/>
    <w:rsid w:val="001C5E1D"/>
    <w:rsid w:val="001C6521"/>
    <w:rsid w:val="001C65BA"/>
    <w:rsid w:val="001C6C36"/>
    <w:rsid w:val="001D2A04"/>
    <w:rsid w:val="001D50DD"/>
    <w:rsid w:val="001D6CB9"/>
    <w:rsid w:val="001E0419"/>
    <w:rsid w:val="001E342D"/>
    <w:rsid w:val="001E579A"/>
    <w:rsid w:val="001F4035"/>
    <w:rsid w:val="001F4CCC"/>
    <w:rsid w:val="001F5A61"/>
    <w:rsid w:val="001F6C16"/>
    <w:rsid w:val="001F7B8D"/>
    <w:rsid w:val="00201F1A"/>
    <w:rsid w:val="0020211D"/>
    <w:rsid w:val="00203471"/>
    <w:rsid w:val="00203707"/>
    <w:rsid w:val="00212BFA"/>
    <w:rsid w:val="002238CC"/>
    <w:rsid w:val="00223A80"/>
    <w:rsid w:val="002273F5"/>
    <w:rsid w:val="002317CD"/>
    <w:rsid w:val="00232470"/>
    <w:rsid w:val="00232BF1"/>
    <w:rsid w:val="0023597D"/>
    <w:rsid w:val="002476C1"/>
    <w:rsid w:val="00247A46"/>
    <w:rsid w:val="002510B4"/>
    <w:rsid w:val="002529DE"/>
    <w:rsid w:val="00255DFA"/>
    <w:rsid w:val="00257DAB"/>
    <w:rsid w:val="00261FCE"/>
    <w:rsid w:val="00263222"/>
    <w:rsid w:val="002660C8"/>
    <w:rsid w:val="00266BBF"/>
    <w:rsid w:val="00267E6F"/>
    <w:rsid w:val="00270178"/>
    <w:rsid w:val="00274120"/>
    <w:rsid w:val="0027599C"/>
    <w:rsid w:val="00275AD9"/>
    <w:rsid w:val="0027734C"/>
    <w:rsid w:val="002825B2"/>
    <w:rsid w:val="00287691"/>
    <w:rsid w:val="00293243"/>
    <w:rsid w:val="002969E6"/>
    <w:rsid w:val="002974FD"/>
    <w:rsid w:val="002A42FA"/>
    <w:rsid w:val="002A690B"/>
    <w:rsid w:val="002B03B9"/>
    <w:rsid w:val="002B09D8"/>
    <w:rsid w:val="002B3AC1"/>
    <w:rsid w:val="002B4A5D"/>
    <w:rsid w:val="002B5EF0"/>
    <w:rsid w:val="002B7356"/>
    <w:rsid w:val="002B789F"/>
    <w:rsid w:val="002B7EDB"/>
    <w:rsid w:val="002C01BA"/>
    <w:rsid w:val="002C26AD"/>
    <w:rsid w:val="002C6247"/>
    <w:rsid w:val="002C734C"/>
    <w:rsid w:val="002D2C72"/>
    <w:rsid w:val="002D4852"/>
    <w:rsid w:val="002D7EA2"/>
    <w:rsid w:val="002D7F8A"/>
    <w:rsid w:val="002E1752"/>
    <w:rsid w:val="002E18C1"/>
    <w:rsid w:val="002E23AE"/>
    <w:rsid w:val="002E31D9"/>
    <w:rsid w:val="002E527A"/>
    <w:rsid w:val="002E5BBA"/>
    <w:rsid w:val="002E6766"/>
    <w:rsid w:val="002F1BCE"/>
    <w:rsid w:val="002F1DA6"/>
    <w:rsid w:val="002F3A47"/>
    <w:rsid w:val="002F3DD5"/>
    <w:rsid w:val="002F4025"/>
    <w:rsid w:val="00300064"/>
    <w:rsid w:val="00301DA4"/>
    <w:rsid w:val="003043B0"/>
    <w:rsid w:val="00304CFC"/>
    <w:rsid w:val="00306ABE"/>
    <w:rsid w:val="003132FF"/>
    <w:rsid w:val="00313A38"/>
    <w:rsid w:val="0031446E"/>
    <w:rsid w:val="003154B1"/>
    <w:rsid w:val="00315D99"/>
    <w:rsid w:val="00315E49"/>
    <w:rsid w:val="00316814"/>
    <w:rsid w:val="00316C74"/>
    <w:rsid w:val="00322D5A"/>
    <w:rsid w:val="00326E13"/>
    <w:rsid w:val="00327B5E"/>
    <w:rsid w:val="00327F92"/>
    <w:rsid w:val="00333D9D"/>
    <w:rsid w:val="003343AC"/>
    <w:rsid w:val="0033591D"/>
    <w:rsid w:val="00341523"/>
    <w:rsid w:val="00342DFC"/>
    <w:rsid w:val="00347F5C"/>
    <w:rsid w:val="00350F9D"/>
    <w:rsid w:val="00354AE6"/>
    <w:rsid w:val="00356095"/>
    <w:rsid w:val="003606E8"/>
    <w:rsid w:val="00361BF7"/>
    <w:rsid w:val="00362A56"/>
    <w:rsid w:val="003630E3"/>
    <w:rsid w:val="00363880"/>
    <w:rsid w:val="003638E1"/>
    <w:rsid w:val="00364E39"/>
    <w:rsid w:val="003674A5"/>
    <w:rsid w:val="00377737"/>
    <w:rsid w:val="00381101"/>
    <w:rsid w:val="00382510"/>
    <w:rsid w:val="00386A2D"/>
    <w:rsid w:val="0038714B"/>
    <w:rsid w:val="0038716C"/>
    <w:rsid w:val="003932D8"/>
    <w:rsid w:val="003977E4"/>
    <w:rsid w:val="003A19A1"/>
    <w:rsid w:val="003A74FF"/>
    <w:rsid w:val="003B0E9A"/>
    <w:rsid w:val="003B1A5D"/>
    <w:rsid w:val="003B2E51"/>
    <w:rsid w:val="003B357F"/>
    <w:rsid w:val="003B4D31"/>
    <w:rsid w:val="003B70BC"/>
    <w:rsid w:val="003C0F8B"/>
    <w:rsid w:val="003C2C1E"/>
    <w:rsid w:val="003C3428"/>
    <w:rsid w:val="003C52D9"/>
    <w:rsid w:val="003D18D0"/>
    <w:rsid w:val="003D62A2"/>
    <w:rsid w:val="003D6E9F"/>
    <w:rsid w:val="003D718E"/>
    <w:rsid w:val="003D7874"/>
    <w:rsid w:val="003E337C"/>
    <w:rsid w:val="003F1658"/>
    <w:rsid w:val="003F198D"/>
    <w:rsid w:val="003F1C61"/>
    <w:rsid w:val="003F1CDA"/>
    <w:rsid w:val="003F29CC"/>
    <w:rsid w:val="003F2F21"/>
    <w:rsid w:val="003F41F9"/>
    <w:rsid w:val="003F5479"/>
    <w:rsid w:val="003F5D9A"/>
    <w:rsid w:val="003F7291"/>
    <w:rsid w:val="0040242E"/>
    <w:rsid w:val="0040259F"/>
    <w:rsid w:val="00411EC8"/>
    <w:rsid w:val="0041247D"/>
    <w:rsid w:val="00412C2E"/>
    <w:rsid w:val="00413668"/>
    <w:rsid w:val="00413798"/>
    <w:rsid w:val="004157E9"/>
    <w:rsid w:val="0041589B"/>
    <w:rsid w:val="0041645D"/>
    <w:rsid w:val="00423425"/>
    <w:rsid w:val="00423EB8"/>
    <w:rsid w:val="00424072"/>
    <w:rsid w:val="0042477E"/>
    <w:rsid w:val="00424BF2"/>
    <w:rsid w:val="00426FAE"/>
    <w:rsid w:val="00434705"/>
    <w:rsid w:val="004372FF"/>
    <w:rsid w:val="0043788E"/>
    <w:rsid w:val="00440C4F"/>
    <w:rsid w:val="00441E51"/>
    <w:rsid w:val="00443659"/>
    <w:rsid w:val="00443A78"/>
    <w:rsid w:val="00445816"/>
    <w:rsid w:val="00445E72"/>
    <w:rsid w:val="004478B2"/>
    <w:rsid w:val="00450008"/>
    <w:rsid w:val="00453E29"/>
    <w:rsid w:val="00453E87"/>
    <w:rsid w:val="0045410A"/>
    <w:rsid w:val="00455A96"/>
    <w:rsid w:val="00464751"/>
    <w:rsid w:val="004652E2"/>
    <w:rsid w:val="004676FE"/>
    <w:rsid w:val="004712B0"/>
    <w:rsid w:val="004729DF"/>
    <w:rsid w:val="00472D08"/>
    <w:rsid w:val="00472E67"/>
    <w:rsid w:val="00474D04"/>
    <w:rsid w:val="004765C3"/>
    <w:rsid w:val="0047678E"/>
    <w:rsid w:val="00481861"/>
    <w:rsid w:val="0048317E"/>
    <w:rsid w:val="004842B3"/>
    <w:rsid w:val="00485F48"/>
    <w:rsid w:val="004966BA"/>
    <w:rsid w:val="00497422"/>
    <w:rsid w:val="004A205E"/>
    <w:rsid w:val="004A2DC4"/>
    <w:rsid w:val="004A3B21"/>
    <w:rsid w:val="004B08CA"/>
    <w:rsid w:val="004B090D"/>
    <w:rsid w:val="004B60FB"/>
    <w:rsid w:val="004C24ED"/>
    <w:rsid w:val="004C3A7E"/>
    <w:rsid w:val="004C4074"/>
    <w:rsid w:val="004C49DF"/>
    <w:rsid w:val="004C4B4C"/>
    <w:rsid w:val="004C6790"/>
    <w:rsid w:val="004C745E"/>
    <w:rsid w:val="004D1219"/>
    <w:rsid w:val="004D1CF9"/>
    <w:rsid w:val="004D2028"/>
    <w:rsid w:val="004D26E5"/>
    <w:rsid w:val="004E1E89"/>
    <w:rsid w:val="004E39AB"/>
    <w:rsid w:val="004E47A5"/>
    <w:rsid w:val="004E7B35"/>
    <w:rsid w:val="004F3920"/>
    <w:rsid w:val="004F62CD"/>
    <w:rsid w:val="004F6851"/>
    <w:rsid w:val="005015EE"/>
    <w:rsid w:val="00502B52"/>
    <w:rsid w:val="005068AE"/>
    <w:rsid w:val="00506922"/>
    <w:rsid w:val="00507262"/>
    <w:rsid w:val="005101FE"/>
    <w:rsid w:val="00512553"/>
    <w:rsid w:val="00512F68"/>
    <w:rsid w:val="005165E1"/>
    <w:rsid w:val="00521616"/>
    <w:rsid w:val="0052265E"/>
    <w:rsid w:val="005227B1"/>
    <w:rsid w:val="005231C7"/>
    <w:rsid w:val="005239D1"/>
    <w:rsid w:val="005249ED"/>
    <w:rsid w:val="005305CF"/>
    <w:rsid w:val="00535FA0"/>
    <w:rsid w:val="00537AAC"/>
    <w:rsid w:val="0054145B"/>
    <w:rsid w:val="00541C1E"/>
    <w:rsid w:val="005456BF"/>
    <w:rsid w:val="00545914"/>
    <w:rsid w:val="00545D08"/>
    <w:rsid w:val="00546A88"/>
    <w:rsid w:val="005474F4"/>
    <w:rsid w:val="0054753E"/>
    <w:rsid w:val="005524D9"/>
    <w:rsid w:val="005529B8"/>
    <w:rsid w:val="00553052"/>
    <w:rsid w:val="00555671"/>
    <w:rsid w:val="00560DE8"/>
    <w:rsid w:val="00561444"/>
    <w:rsid w:val="00563398"/>
    <w:rsid w:val="00563F37"/>
    <w:rsid w:val="005657BE"/>
    <w:rsid w:val="005730FD"/>
    <w:rsid w:val="005744B9"/>
    <w:rsid w:val="005749BD"/>
    <w:rsid w:val="00584C19"/>
    <w:rsid w:val="00586EF8"/>
    <w:rsid w:val="005876FF"/>
    <w:rsid w:val="00591F22"/>
    <w:rsid w:val="00597510"/>
    <w:rsid w:val="00597BCC"/>
    <w:rsid w:val="005A0233"/>
    <w:rsid w:val="005A07AB"/>
    <w:rsid w:val="005A1EAF"/>
    <w:rsid w:val="005A2E2B"/>
    <w:rsid w:val="005A59CE"/>
    <w:rsid w:val="005A5BF6"/>
    <w:rsid w:val="005B42D9"/>
    <w:rsid w:val="005B4E64"/>
    <w:rsid w:val="005C04CB"/>
    <w:rsid w:val="005C4426"/>
    <w:rsid w:val="005C47FF"/>
    <w:rsid w:val="005C488A"/>
    <w:rsid w:val="005C51A0"/>
    <w:rsid w:val="005D1257"/>
    <w:rsid w:val="005D407D"/>
    <w:rsid w:val="005D58A2"/>
    <w:rsid w:val="005D67A1"/>
    <w:rsid w:val="005D7844"/>
    <w:rsid w:val="005E3446"/>
    <w:rsid w:val="005E3BF5"/>
    <w:rsid w:val="005E4B4B"/>
    <w:rsid w:val="005E69A1"/>
    <w:rsid w:val="005F356B"/>
    <w:rsid w:val="005F3AA8"/>
    <w:rsid w:val="005F5838"/>
    <w:rsid w:val="005F7302"/>
    <w:rsid w:val="005F7A72"/>
    <w:rsid w:val="00600560"/>
    <w:rsid w:val="00601C3C"/>
    <w:rsid w:val="00602980"/>
    <w:rsid w:val="00605FB4"/>
    <w:rsid w:val="00614EB0"/>
    <w:rsid w:val="0061517C"/>
    <w:rsid w:val="00616D2E"/>
    <w:rsid w:val="00616D8C"/>
    <w:rsid w:val="006179F3"/>
    <w:rsid w:val="0062081E"/>
    <w:rsid w:val="00621BA1"/>
    <w:rsid w:val="006247F3"/>
    <w:rsid w:val="00626004"/>
    <w:rsid w:val="00631DB8"/>
    <w:rsid w:val="0063206B"/>
    <w:rsid w:val="00634B3E"/>
    <w:rsid w:val="006356AE"/>
    <w:rsid w:val="0063588E"/>
    <w:rsid w:val="00636B8B"/>
    <w:rsid w:val="006379C7"/>
    <w:rsid w:val="006448B7"/>
    <w:rsid w:val="00645ADD"/>
    <w:rsid w:val="00645DA0"/>
    <w:rsid w:val="00646710"/>
    <w:rsid w:val="006508AE"/>
    <w:rsid w:val="00650929"/>
    <w:rsid w:val="00650A17"/>
    <w:rsid w:val="0065141E"/>
    <w:rsid w:val="00651C09"/>
    <w:rsid w:val="0065376D"/>
    <w:rsid w:val="00653B17"/>
    <w:rsid w:val="006542F8"/>
    <w:rsid w:val="00654CFA"/>
    <w:rsid w:val="00655DDB"/>
    <w:rsid w:val="006572D9"/>
    <w:rsid w:val="006616F5"/>
    <w:rsid w:val="006635DD"/>
    <w:rsid w:val="00664DBC"/>
    <w:rsid w:val="00665FA8"/>
    <w:rsid w:val="0066720E"/>
    <w:rsid w:val="00670DCC"/>
    <w:rsid w:val="00672380"/>
    <w:rsid w:val="00673B12"/>
    <w:rsid w:val="0067545B"/>
    <w:rsid w:val="006800B3"/>
    <w:rsid w:val="0068014E"/>
    <w:rsid w:val="00680C9A"/>
    <w:rsid w:val="00683C60"/>
    <w:rsid w:val="00686C29"/>
    <w:rsid w:val="00687531"/>
    <w:rsid w:val="006926D9"/>
    <w:rsid w:val="00694A86"/>
    <w:rsid w:val="00695BA6"/>
    <w:rsid w:val="0069677C"/>
    <w:rsid w:val="006A30C8"/>
    <w:rsid w:val="006A3A92"/>
    <w:rsid w:val="006A6551"/>
    <w:rsid w:val="006B2917"/>
    <w:rsid w:val="006B2A8E"/>
    <w:rsid w:val="006B33D6"/>
    <w:rsid w:val="006B358C"/>
    <w:rsid w:val="006B5554"/>
    <w:rsid w:val="006B6EC6"/>
    <w:rsid w:val="006B7264"/>
    <w:rsid w:val="006B7970"/>
    <w:rsid w:val="006C20EB"/>
    <w:rsid w:val="006C29E9"/>
    <w:rsid w:val="006C5BF6"/>
    <w:rsid w:val="006C6B63"/>
    <w:rsid w:val="006D08CC"/>
    <w:rsid w:val="006D651F"/>
    <w:rsid w:val="006E3E1B"/>
    <w:rsid w:val="006E4F59"/>
    <w:rsid w:val="006E614E"/>
    <w:rsid w:val="006E6AE8"/>
    <w:rsid w:val="006E6E44"/>
    <w:rsid w:val="006F15D0"/>
    <w:rsid w:val="006F446F"/>
    <w:rsid w:val="006F64D8"/>
    <w:rsid w:val="006F6F1D"/>
    <w:rsid w:val="0070183B"/>
    <w:rsid w:val="00711151"/>
    <w:rsid w:val="00713705"/>
    <w:rsid w:val="00713BB4"/>
    <w:rsid w:val="00714D50"/>
    <w:rsid w:val="007173CC"/>
    <w:rsid w:val="00717EEC"/>
    <w:rsid w:val="007214E8"/>
    <w:rsid w:val="00721CFE"/>
    <w:rsid w:val="007236E4"/>
    <w:rsid w:val="0073001D"/>
    <w:rsid w:val="007300B6"/>
    <w:rsid w:val="00733DC4"/>
    <w:rsid w:val="007347D0"/>
    <w:rsid w:val="00734AEB"/>
    <w:rsid w:val="007374AB"/>
    <w:rsid w:val="007444B6"/>
    <w:rsid w:val="00746436"/>
    <w:rsid w:val="007475FC"/>
    <w:rsid w:val="00750BDB"/>
    <w:rsid w:val="007517E1"/>
    <w:rsid w:val="007521EA"/>
    <w:rsid w:val="007525F8"/>
    <w:rsid w:val="00753226"/>
    <w:rsid w:val="00761428"/>
    <w:rsid w:val="00761453"/>
    <w:rsid w:val="00772927"/>
    <w:rsid w:val="00772B8F"/>
    <w:rsid w:val="0077362F"/>
    <w:rsid w:val="0077366C"/>
    <w:rsid w:val="00773F8E"/>
    <w:rsid w:val="00775B0E"/>
    <w:rsid w:val="00780C70"/>
    <w:rsid w:val="007820D2"/>
    <w:rsid w:val="007854FB"/>
    <w:rsid w:val="007867E7"/>
    <w:rsid w:val="00786C1A"/>
    <w:rsid w:val="0078765A"/>
    <w:rsid w:val="00787D65"/>
    <w:rsid w:val="007925DF"/>
    <w:rsid w:val="00793360"/>
    <w:rsid w:val="00797067"/>
    <w:rsid w:val="00797ECD"/>
    <w:rsid w:val="007A1565"/>
    <w:rsid w:val="007A2C59"/>
    <w:rsid w:val="007A4B82"/>
    <w:rsid w:val="007A601C"/>
    <w:rsid w:val="007A6564"/>
    <w:rsid w:val="007B35CC"/>
    <w:rsid w:val="007B6D5B"/>
    <w:rsid w:val="007B7065"/>
    <w:rsid w:val="007B7814"/>
    <w:rsid w:val="007C0875"/>
    <w:rsid w:val="007C4961"/>
    <w:rsid w:val="007C5AB7"/>
    <w:rsid w:val="007C668C"/>
    <w:rsid w:val="007C6920"/>
    <w:rsid w:val="007C7496"/>
    <w:rsid w:val="007C7DEE"/>
    <w:rsid w:val="007D056E"/>
    <w:rsid w:val="007D1DB4"/>
    <w:rsid w:val="007D1DE0"/>
    <w:rsid w:val="007D2340"/>
    <w:rsid w:val="007D4609"/>
    <w:rsid w:val="007D496D"/>
    <w:rsid w:val="007D50F2"/>
    <w:rsid w:val="007D5ECC"/>
    <w:rsid w:val="007D6E0E"/>
    <w:rsid w:val="007E0396"/>
    <w:rsid w:val="007E478F"/>
    <w:rsid w:val="007E4BF6"/>
    <w:rsid w:val="007E710F"/>
    <w:rsid w:val="007F02F6"/>
    <w:rsid w:val="007F0C11"/>
    <w:rsid w:val="007F15CB"/>
    <w:rsid w:val="007F1811"/>
    <w:rsid w:val="007F31BB"/>
    <w:rsid w:val="007F3690"/>
    <w:rsid w:val="007F4C19"/>
    <w:rsid w:val="0080087E"/>
    <w:rsid w:val="008023DA"/>
    <w:rsid w:val="00804043"/>
    <w:rsid w:val="00804F0E"/>
    <w:rsid w:val="0080612C"/>
    <w:rsid w:val="00810A34"/>
    <w:rsid w:val="00813AAF"/>
    <w:rsid w:val="00824021"/>
    <w:rsid w:val="0082504F"/>
    <w:rsid w:val="00826AFA"/>
    <w:rsid w:val="008303AE"/>
    <w:rsid w:val="00837A41"/>
    <w:rsid w:val="00837E98"/>
    <w:rsid w:val="008414EA"/>
    <w:rsid w:val="00843129"/>
    <w:rsid w:val="00843FA0"/>
    <w:rsid w:val="00846163"/>
    <w:rsid w:val="0085614D"/>
    <w:rsid w:val="008561ED"/>
    <w:rsid w:val="00856DD4"/>
    <w:rsid w:val="00857464"/>
    <w:rsid w:val="008575C6"/>
    <w:rsid w:val="00861092"/>
    <w:rsid w:val="00864384"/>
    <w:rsid w:val="00866CCA"/>
    <w:rsid w:val="00867350"/>
    <w:rsid w:val="00872206"/>
    <w:rsid w:val="008736C6"/>
    <w:rsid w:val="00874FF9"/>
    <w:rsid w:val="0087510B"/>
    <w:rsid w:val="00875AD9"/>
    <w:rsid w:val="00877F54"/>
    <w:rsid w:val="00881230"/>
    <w:rsid w:val="00884FFA"/>
    <w:rsid w:val="00885C25"/>
    <w:rsid w:val="00886026"/>
    <w:rsid w:val="008913A9"/>
    <w:rsid w:val="008933E8"/>
    <w:rsid w:val="00896DF2"/>
    <w:rsid w:val="008A0045"/>
    <w:rsid w:val="008A098B"/>
    <w:rsid w:val="008A25DB"/>
    <w:rsid w:val="008A3088"/>
    <w:rsid w:val="008A3666"/>
    <w:rsid w:val="008A73BF"/>
    <w:rsid w:val="008B11BB"/>
    <w:rsid w:val="008B1C5B"/>
    <w:rsid w:val="008B2373"/>
    <w:rsid w:val="008B3036"/>
    <w:rsid w:val="008B38FB"/>
    <w:rsid w:val="008C06C8"/>
    <w:rsid w:val="008C4697"/>
    <w:rsid w:val="008C5992"/>
    <w:rsid w:val="008D0790"/>
    <w:rsid w:val="008D1602"/>
    <w:rsid w:val="008D1E3F"/>
    <w:rsid w:val="008D2298"/>
    <w:rsid w:val="008D6B66"/>
    <w:rsid w:val="008E02C5"/>
    <w:rsid w:val="008E3D4B"/>
    <w:rsid w:val="008F057D"/>
    <w:rsid w:val="008F2B7F"/>
    <w:rsid w:val="008F350C"/>
    <w:rsid w:val="008F35A1"/>
    <w:rsid w:val="008F6CF2"/>
    <w:rsid w:val="008F74BC"/>
    <w:rsid w:val="00904567"/>
    <w:rsid w:val="009050EA"/>
    <w:rsid w:val="009067C5"/>
    <w:rsid w:val="00906CDB"/>
    <w:rsid w:val="00910EA3"/>
    <w:rsid w:val="0091145E"/>
    <w:rsid w:val="00911D0D"/>
    <w:rsid w:val="009156DA"/>
    <w:rsid w:val="009172D5"/>
    <w:rsid w:val="00921F97"/>
    <w:rsid w:val="00922433"/>
    <w:rsid w:val="00922464"/>
    <w:rsid w:val="0092261E"/>
    <w:rsid w:val="009250F3"/>
    <w:rsid w:val="00927647"/>
    <w:rsid w:val="009301EE"/>
    <w:rsid w:val="009322ED"/>
    <w:rsid w:val="0093319E"/>
    <w:rsid w:val="009335E7"/>
    <w:rsid w:val="00935BC3"/>
    <w:rsid w:val="00935CB1"/>
    <w:rsid w:val="00940636"/>
    <w:rsid w:val="0094075A"/>
    <w:rsid w:val="00940D56"/>
    <w:rsid w:val="00940D89"/>
    <w:rsid w:val="00941D1C"/>
    <w:rsid w:val="00942EC1"/>
    <w:rsid w:val="0094369F"/>
    <w:rsid w:val="00951D14"/>
    <w:rsid w:val="00951F33"/>
    <w:rsid w:val="009520F8"/>
    <w:rsid w:val="009529CC"/>
    <w:rsid w:val="00952F4F"/>
    <w:rsid w:val="009556B9"/>
    <w:rsid w:val="00960C60"/>
    <w:rsid w:val="00961279"/>
    <w:rsid w:val="0096434B"/>
    <w:rsid w:val="009649AC"/>
    <w:rsid w:val="00965BB3"/>
    <w:rsid w:val="00967DAE"/>
    <w:rsid w:val="0097072C"/>
    <w:rsid w:val="00975B26"/>
    <w:rsid w:val="00984396"/>
    <w:rsid w:val="00984991"/>
    <w:rsid w:val="00985184"/>
    <w:rsid w:val="00985244"/>
    <w:rsid w:val="0099014B"/>
    <w:rsid w:val="00992D87"/>
    <w:rsid w:val="00994995"/>
    <w:rsid w:val="00995668"/>
    <w:rsid w:val="00995F1D"/>
    <w:rsid w:val="00996EF2"/>
    <w:rsid w:val="009A1C2F"/>
    <w:rsid w:val="009A2289"/>
    <w:rsid w:val="009A55EC"/>
    <w:rsid w:val="009A765C"/>
    <w:rsid w:val="009B007D"/>
    <w:rsid w:val="009B16C9"/>
    <w:rsid w:val="009B29FE"/>
    <w:rsid w:val="009B4DD4"/>
    <w:rsid w:val="009C0DBF"/>
    <w:rsid w:val="009C39B1"/>
    <w:rsid w:val="009C43BF"/>
    <w:rsid w:val="009C4F35"/>
    <w:rsid w:val="009C5B4B"/>
    <w:rsid w:val="009C625C"/>
    <w:rsid w:val="009C633A"/>
    <w:rsid w:val="009C7A8D"/>
    <w:rsid w:val="009C7E61"/>
    <w:rsid w:val="009D3C27"/>
    <w:rsid w:val="009D4310"/>
    <w:rsid w:val="009D5DF9"/>
    <w:rsid w:val="009D6607"/>
    <w:rsid w:val="009E1332"/>
    <w:rsid w:val="009E1F73"/>
    <w:rsid w:val="009E312D"/>
    <w:rsid w:val="009E3B1D"/>
    <w:rsid w:val="009E5760"/>
    <w:rsid w:val="009E5C22"/>
    <w:rsid w:val="009E7BD4"/>
    <w:rsid w:val="009F346C"/>
    <w:rsid w:val="009F3856"/>
    <w:rsid w:val="009F4643"/>
    <w:rsid w:val="009F62D4"/>
    <w:rsid w:val="009F70C3"/>
    <w:rsid w:val="00A01983"/>
    <w:rsid w:val="00A04B69"/>
    <w:rsid w:val="00A1066F"/>
    <w:rsid w:val="00A13CDC"/>
    <w:rsid w:val="00A14412"/>
    <w:rsid w:val="00A14FD7"/>
    <w:rsid w:val="00A156BD"/>
    <w:rsid w:val="00A15AE9"/>
    <w:rsid w:val="00A170CE"/>
    <w:rsid w:val="00A201E0"/>
    <w:rsid w:val="00A20709"/>
    <w:rsid w:val="00A218B9"/>
    <w:rsid w:val="00A25062"/>
    <w:rsid w:val="00A25FBA"/>
    <w:rsid w:val="00A35519"/>
    <w:rsid w:val="00A3552E"/>
    <w:rsid w:val="00A35B38"/>
    <w:rsid w:val="00A410E5"/>
    <w:rsid w:val="00A43259"/>
    <w:rsid w:val="00A502B8"/>
    <w:rsid w:val="00A566EF"/>
    <w:rsid w:val="00A622B2"/>
    <w:rsid w:val="00A62B32"/>
    <w:rsid w:val="00A64081"/>
    <w:rsid w:val="00A664E6"/>
    <w:rsid w:val="00A74631"/>
    <w:rsid w:val="00A74D7E"/>
    <w:rsid w:val="00A805B1"/>
    <w:rsid w:val="00A8305A"/>
    <w:rsid w:val="00A83AF1"/>
    <w:rsid w:val="00A868B6"/>
    <w:rsid w:val="00A87B15"/>
    <w:rsid w:val="00A92CA6"/>
    <w:rsid w:val="00A970C1"/>
    <w:rsid w:val="00A9757D"/>
    <w:rsid w:val="00AA1713"/>
    <w:rsid w:val="00AA20AA"/>
    <w:rsid w:val="00AA20CC"/>
    <w:rsid w:val="00AA24EA"/>
    <w:rsid w:val="00AA39B6"/>
    <w:rsid w:val="00AB07F0"/>
    <w:rsid w:val="00AB166C"/>
    <w:rsid w:val="00AB192E"/>
    <w:rsid w:val="00AB2540"/>
    <w:rsid w:val="00AB423F"/>
    <w:rsid w:val="00AB7F40"/>
    <w:rsid w:val="00AC04DA"/>
    <w:rsid w:val="00AC1624"/>
    <w:rsid w:val="00AC3900"/>
    <w:rsid w:val="00AC4F87"/>
    <w:rsid w:val="00AD1272"/>
    <w:rsid w:val="00AD24B1"/>
    <w:rsid w:val="00AD2D02"/>
    <w:rsid w:val="00AD753B"/>
    <w:rsid w:val="00AE1255"/>
    <w:rsid w:val="00AE17BA"/>
    <w:rsid w:val="00AE5DF8"/>
    <w:rsid w:val="00AE628B"/>
    <w:rsid w:val="00AE7365"/>
    <w:rsid w:val="00AF3119"/>
    <w:rsid w:val="00AF5394"/>
    <w:rsid w:val="00AF6F6D"/>
    <w:rsid w:val="00B00F32"/>
    <w:rsid w:val="00B02F39"/>
    <w:rsid w:val="00B0472C"/>
    <w:rsid w:val="00B047D9"/>
    <w:rsid w:val="00B05CAB"/>
    <w:rsid w:val="00B06980"/>
    <w:rsid w:val="00B0737F"/>
    <w:rsid w:val="00B12F4B"/>
    <w:rsid w:val="00B13FD7"/>
    <w:rsid w:val="00B1409F"/>
    <w:rsid w:val="00B17959"/>
    <w:rsid w:val="00B23F11"/>
    <w:rsid w:val="00B241EE"/>
    <w:rsid w:val="00B24C43"/>
    <w:rsid w:val="00B26DB0"/>
    <w:rsid w:val="00B3302F"/>
    <w:rsid w:val="00B34238"/>
    <w:rsid w:val="00B35682"/>
    <w:rsid w:val="00B361F4"/>
    <w:rsid w:val="00B41BCD"/>
    <w:rsid w:val="00B42F7E"/>
    <w:rsid w:val="00B42FA6"/>
    <w:rsid w:val="00B4440A"/>
    <w:rsid w:val="00B46935"/>
    <w:rsid w:val="00B52FD7"/>
    <w:rsid w:val="00B537E2"/>
    <w:rsid w:val="00B545F9"/>
    <w:rsid w:val="00B5484D"/>
    <w:rsid w:val="00B55479"/>
    <w:rsid w:val="00B56D02"/>
    <w:rsid w:val="00B61C01"/>
    <w:rsid w:val="00B631A1"/>
    <w:rsid w:val="00B638EB"/>
    <w:rsid w:val="00B70613"/>
    <w:rsid w:val="00B707DC"/>
    <w:rsid w:val="00B711BD"/>
    <w:rsid w:val="00B72D94"/>
    <w:rsid w:val="00B73B42"/>
    <w:rsid w:val="00B8171D"/>
    <w:rsid w:val="00B824CB"/>
    <w:rsid w:val="00B83335"/>
    <w:rsid w:val="00B83E78"/>
    <w:rsid w:val="00B844BF"/>
    <w:rsid w:val="00B85ECB"/>
    <w:rsid w:val="00B86D06"/>
    <w:rsid w:val="00B90FA2"/>
    <w:rsid w:val="00B91E4F"/>
    <w:rsid w:val="00B922F9"/>
    <w:rsid w:val="00B9317C"/>
    <w:rsid w:val="00B954DC"/>
    <w:rsid w:val="00B961C5"/>
    <w:rsid w:val="00B967D8"/>
    <w:rsid w:val="00BA252D"/>
    <w:rsid w:val="00BA3867"/>
    <w:rsid w:val="00BA4048"/>
    <w:rsid w:val="00BA4935"/>
    <w:rsid w:val="00BA74DC"/>
    <w:rsid w:val="00BA7C4D"/>
    <w:rsid w:val="00BB0A8F"/>
    <w:rsid w:val="00BB4325"/>
    <w:rsid w:val="00BB4702"/>
    <w:rsid w:val="00BB6DAB"/>
    <w:rsid w:val="00BC050D"/>
    <w:rsid w:val="00BC27E0"/>
    <w:rsid w:val="00BC2EF9"/>
    <w:rsid w:val="00BC4C20"/>
    <w:rsid w:val="00BC6940"/>
    <w:rsid w:val="00BD193A"/>
    <w:rsid w:val="00BD2CAF"/>
    <w:rsid w:val="00BD3202"/>
    <w:rsid w:val="00BD3260"/>
    <w:rsid w:val="00BD6EEE"/>
    <w:rsid w:val="00BD797A"/>
    <w:rsid w:val="00BE57C5"/>
    <w:rsid w:val="00BE6AA0"/>
    <w:rsid w:val="00BF1C18"/>
    <w:rsid w:val="00BF2A5F"/>
    <w:rsid w:val="00BF2C23"/>
    <w:rsid w:val="00BF6222"/>
    <w:rsid w:val="00C04F94"/>
    <w:rsid w:val="00C05378"/>
    <w:rsid w:val="00C10A4C"/>
    <w:rsid w:val="00C135E1"/>
    <w:rsid w:val="00C139E9"/>
    <w:rsid w:val="00C14020"/>
    <w:rsid w:val="00C16213"/>
    <w:rsid w:val="00C1660F"/>
    <w:rsid w:val="00C2300F"/>
    <w:rsid w:val="00C2544C"/>
    <w:rsid w:val="00C326A3"/>
    <w:rsid w:val="00C34980"/>
    <w:rsid w:val="00C3500D"/>
    <w:rsid w:val="00C36561"/>
    <w:rsid w:val="00C3789C"/>
    <w:rsid w:val="00C4100D"/>
    <w:rsid w:val="00C42530"/>
    <w:rsid w:val="00C45071"/>
    <w:rsid w:val="00C450A6"/>
    <w:rsid w:val="00C45914"/>
    <w:rsid w:val="00C47BAD"/>
    <w:rsid w:val="00C54339"/>
    <w:rsid w:val="00C54343"/>
    <w:rsid w:val="00C60FD1"/>
    <w:rsid w:val="00C6119F"/>
    <w:rsid w:val="00C64F75"/>
    <w:rsid w:val="00C650BA"/>
    <w:rsid w:val="00C6528E"/>
    <w:rsid w:val="00C7056C"/>
    <w:rsid w:val="00C731C4"/>
    <w:rsid w:val="00C734B6"/>
    <w:rsid w:val="00C73B6D"/>
    <w:rsid w:val="00C74386"/>
    <w:rsid w:val="00C824FB"/>
    <w:rsid w:val="00C83BCA"/>
    <w:rsid w:val="00C83DFA"/>
    <w:rsid w:val="00C87207"/>
    <w:rsid w:val="00C9016E"/>
    <w:rsid w:val="00C90702"/>
    <w:rsid w:val="00C91539"/>
    <w:rsid w:val="00C938E9"/>
    <w:rsid w:val="00C94135"/>
    <w:rsid w:val="00CA0944"/>
    <w:rsid w:val="00CA1B1E"/>
    <w:rsid w:val="00CA29E0"/>
    <w:rsid w:val="00CA3FB5"/>
    <w:rsid w:val="00CA75FE"/>
    <w:rsid w:val="00CA7714"/>
    <w:rsid w:val="00CB0AD1"/>
    <w:rsid w:val="00CB0D54"/>
    <w:rsid w:val="00CB0DC9"/>
    <w:rsid w:val="00CB3CA9"/>
    <w:rsid w:val="00CB41AE"/>
    <w:rsid w:val="00CB431F"/>
    <w:rsid w:val="00CB4A7C"/>
    <w:rsid w:val="00CB5982"/>
    <w:rsid w:val="00CC02E3"/>
    <w:rsid w:val="00CC0735"/>
    <w:rsid w:val="00CC2525"/>
    <w:rsid w:val="00CC33E7"/>
    <w:rsid w:val="00CC3580"/>
    <w:rsid w:val="00CC3AC3"/>
    <w:rsid w:val="00CC46A3"/>
    <w:rsid w:val="00CC6388"/>
    <w:rsid w:val="00CC763D"/>
    <w:rsid w:val="00CD1CBE"/>
    <w:rsid w:val="00CD384A"/>
    <w:rsid w:val="00CD4152"/>
    <w:rsid w:val="00CD7E15"/>
    <w:rsid w:val="00CE1EB4"/>
    <w:rsid w:val="00CE1FE0"/>
    <w:rsid w:val="00CE2574"/>
    <w:rsid w:val="00CE2644"/>
    <w:rsid w:val="00CE2889"/>
    <w:rsid w:val="00CE28AA"/>
    <w:rsid w:val="00CE649A"/>
    <w:rsid w:val="00CE66DB"/>
    <w:rsid w:val="00CE7351"/>
    <w:rsid w:val="00CE777A"/>
    <w:rsid w:val="00CF0B35"/>
    <w:rsid w:val="00CF23AA"/>
    <w:rsid w:val="00CF248D"/>
    <w:rsid w:val="00CF5B03"/>
    <w:rsid w:val="00CF6583"/>
    <w:rsid w:val="00D008E0"/>
    <w:rsid w:val="00D014E4"/>
    <w:rsid w:val="00D05540"/>
    <w:rsid w:val="00D10FB6"/>
    <w:rsid w:val="00D14AE9"/>
    <w:rsid w:val="00D14D31"/>
    <w:rsid w:val="00D161B7"/>
    <w:rsid w:val="00D2011C"/>
    <w:rsid w:val="00D20FB9"/>
    <w:rsid w:val="00D217DD"/>
    <w:rsid w:val="00D229F7"/>
    <w:rsid w:val="00D23924"/>
    <w:rsid w:val="00D23C39"/>
    <w:rsid w:val="00D24EA2"/>
    <w:rsid w:val="00D27EA2"/>
    <w:rsid w:val="00D31848"/>
    <w:rsid w:val="00D3219F"/>
    <w:rsid w:val="00D32B70"/>
    <w:rsid w:val="00D34C88"/>
    <w:rsid w:val="00D35BA8"/>
    <w:rsid w:val="00D37F85"/>
    <w:rsid w:val="00D407D4"/>
    <w:rsid w:val="00D40F52"/>
    <w:rsid w:val="00D42FB8"/>
    <w:rsid w:val="00D42FE5"/>
    <w:rsid w:val="00D460BE"/>
    <w:rsid w:val="00D53993"/>
    <w:rsid w:val="00D539DF"/>
    <w:rsid w:val="00D55E43"/>
    <w:rsid w:val="00D648F1"/>
    <w:rsid w:val="00D65335"/>
    <w:rsid w:val="00D66003"/>
    <w:rsid w:val="00D6712A"/>
    <w:rsid w:val="00D709F6"/>
    <w:rsid w:val="00D71514"/>
    <w:rsid w:val="00D722B2"/>
    <w:rsid w:val="00D73264"/>
    <w:rsid w:val="00D753F4"/>
    <w:rsid w:val="00D76CA0"/>
    <w:rsid w:val="00D8084D"/>
    <w:rsid w:val="00D82453"/>
    <w:rsid w:val="00D83E69"/>
    <w:rsid w:val="00D84449"/>
    <w:rsid w:val="00D84480"/>
    <w:rsid w:val="00D86B21"/>
    <w:rsid w:val="00D87CF5"/>
    <w:rsid w:val="00D9089C"/>
    <w:rsid w:val="00D933B5"/>
    <w:rsid w:val="00D95D6D"/>
    <w:rsid w:val="00D975F4"/>
    <w:rsid w:val="00DA00BC"/>
    <w:rsid w:val="00DA3B47"/>
    <w:rsid w:val="00DA5100"/>
    <w:rsid w:val="00DA6FD9"/>
    <w:rsid w:val="00DA7069"/>
    <w:rsid w:val="00DA7ED4"/>
    <w:rsid w:val="00DB14F0"/>
    <w:rsid w:val="00DB153C"/>
    <w:rsid w:val="00DB1B9C"/>
    <w:rsid w:val="00DB229A"/>
    <w:rsid w:val="00DB2EA3"/>
    <w:rsid w:val="00DB45A8"/>
    <w:rsid w:val="00DB4E4D"/>
    <w:rsid w:val="00DB6A8F"/>
    <w:rsid w:val="00DB6C4F"/>
    <w:rsid w:val="00DB769D"/>
    <w:rsid w:val="00DB79D6"/>
    <w:rsid w:val="00DC2B5F"/>
    <w:rsid w:val="00DC2C26"/>
    <w:rsid w:val="00DD0E23"/>
    <w:rsid w:val="00DD2224"/>
    <w:rsid w:val="00DD5CCB"/>
    <w:rsid w:val="00DD5E88"/>
    <w:rsid w:val="00DD7526"/>
    <w:rsid w:val="00DD7F4D"/>
    <w:rsid w:val="00DE5CF3"/>
    <w:rsid w:val="00DE6D37"/>
    <w:rsid w:val="00DF2FDF"/>
    <w:rsid w:val="00DF352C"/>
    <w:rsid w:val="00DF61E9"/>
    <w:rsid w:val="00DF63BB"/>
    <w:rsid w:val="00E0062B"/>
    <w:rsid w:val="00E0184E"/>
    <w:rsid w:val="00E03257"/>
    <w:rsid w:val="00E10A69"/>
    <w:rsid w:val="00E1102F"/>
    <w:rsid w:val="00E16D6D"/>
    <w:rsid w:val="00E21109"/>
    <w:rsid w:val="00E2269D"/>
    <w:rsid w:val="00E31FEE"/>
    <w:rsid w:val="00E32984"/>
    <w:rsid w:val="00E3557A"/>
    <w:rsid w:val="00E35724"/>
    <w:rsid w:val="00E35C45"/>
    <w:rsid w:val="00E372CE"/>
    <w:rsid w:val="00E37690"/>
    <w:rsid w:val="00E4010E"/>
    <w:rsid w:val="00E410A5"/>
    <w:rsid w:val="00E4128D"/>
    <w:rsid w:val="00E41433"/>
    <w:rsid w:val="00E418A3"/>
    <w:rsid w:val="00E422A3"/>
    <w:rsid w:val="00E4324E"/>
    <w:rsid w:val="00E45DFA"/>
    <w:rsid w:val="00E46805"/>
    <w:rsid w:val="00E51F57"/>
    <w:rsid w:val="00E52D00"/>
    <w:rsid w:val="00E53512"/>
    <w:rsid w:val="00E55362"/>
    <w:rsid w:val="00E60224"/>
    <w:rsid w:val="00E60792"/>
    <w:rsid w:val="00E60C36"/>
    <w:rsid w:val="00E60D27"/>
    <w:rsid w:val="00E65FE7"/>
    <w:rsid w:val="00E66136"/>
    <w:rsid w:val="00E66A22"/>
    <w:rsid w:val="00E71067"/>
    <w:rsid w:val="00E72C0B"/>
    <w:rsid w:val="00E72C94"/>
    <w:rsid w:val="00E7463D"/>
    <w:rsid w:val="00E7518B"/>
    <w:rsid w:val="00E77A9C"/>
    <w:rsid w:val="00E810C7"/>
    <w:rsid w:val="00E83DF3"/>
    <w:rsid w:val="00E86E6A"/>
    <w:rsid w:val="00E90A57"/>
    <w:rsid w:val="00E92B0B"/>
    <w:rsid w:val="00E92FBA"/>
    <w:rsid w:val="00E9453D"/>
    <w:rsid w:val="00E9542D"/>
    <w:rsid w:val="00E95C4C"/>
    <w:rsid w:val="00EA04B1"/>
    <w:rsid w:val="00EA20C5"/>
    <w:rsid w:val="00EA2B16"/>
    <w:rsid w:val="00EA3FBB"/>
    <w:rsid w:val="00EA531C"/>
    <w:rsid w:val="00EA587F"/>
    <w:rsid w:val="00EA621A"/>
    <w:rsid w:val="00EA6296"/>
    <w:rsid w:val="00EA6DE8"/>
    <w:rsid w:val="00EA7309"/>
    <w:rsid w:val="00EB0D29"/>
    <w:rsid w:val="00EB46E4"/>
    <w:rsid w:val="00EB5141"/>
    <w:rsid w:val="00EC05F3"/>
    <w:rsid w:val="00EC18BA"/>
    <w:rsid w:val="00EC2BE8"/>
    <w:rsid w:val="00EC3B06"/>
    <w:rsid w:val="00EC443F"/>
    <w:rsid w:val="00ED0187"/>
    <w:rsid w:val="00ED1BCD"/>
    <w:rsid w:val="00ED3FFC"/>
    <w:rsid w:val="00ED4822"/>
    <w:rsid w:val="00EE2584"/>
    <w:rsid w:val="00EE59F1"/>
    <w:rsid w:val="00EE5AAC"/>
    <w:rsid w:val="00EE6B92"/>
    <w:rsid w:val="00EE6C76"/>
    <w:rsid w:val="00EF02C4"/>
    <w:rsid w:val="00EF328C"/>
    <w:rsid w:val="00EF4188"/>
    <w:rsid w:val="00EF5897"/>
    <w:rsid w:val="00EF6320"/>
    <w:rsid w:val="00EF7AED"/>
    <w:rsid w:val="00F00261"/>
    <w:rsid w:val="00F05A36"/>
    <w:rsid w:val="00F06EAE"/>
    <w:rsid w:val="00F071FE"/>
    <w:rsid w:val="00F07810"/>
    <w:rsid w:val="00F1041B"/>
    <w:rsid w:val="00F12765"/>
    <w:rsid w:val="00F1387C"/>
    <w:rsid w:val="00F14304"/>
    <w:rsid w:val="00F21C0D"/>
    <w:rsid w:val="00F237D0"/>
    <w:rsid w:val="00F25604"/>
    <w:rsid w:val="00F27849"/>
    <w:rsid w:val="00F3214D"/>
    <w:rsid w:val="00F32B22"/>
    <w:rsid w:val="00F34B1A"/>
    <w:rsid w:val="00F36557"/>
    <w:rsid w:val="00F42C45"/>
    <w:rsid w:val="00F439B3"/>
    <w:rsid w:val="00F461FD"/>
    <w:rsid w:val="00F47CA9"/>
    <w:rsid w:val="00F47DAD"/>
    <w:rsid w:val="00F5038A"/>
    <w:rsid w:val="00F504E6"/>
    <w:rsid w:val="00F534DD"/>
    <w:rsid w:val="00F565A4"/>
    <w:rsid w:val="00F60213"/>
    <w:rsid w:val="00F62321"/>
    <w:rsid w:val="00F63443"/>
    <w:rsid w:val="00F70ABE"/>
    <w:rsid w:val="00F7284D"/>
    <w:rsid w:val="00F7425E"/>
    <w:rsid w:val="00F742B3"/>
    <w:rsid w:val="00F756E4"/>
    <w:rsid w:val="00F76802"/>
    <w:rsid w:val="00F76AA8"/>
    <w:rsid w:val="00F76D29"/>
    <w:rsid w:val="00F8176A"/>
    <w:rsid w:val="00F84EC7"/>
    <w:rsid w:val="00F85507"/>
    <w:rsid w:val="00F85908"/>
    <w:rsid w:val="00F85AAA"/>
    <w:rsid w:val="00F86550"/>
    <w:rsid w:val="00F92B26"/>
    <w:rsid w:val="00F93D2F"/>
    <w:rsid w:val="00F9501C"/>
    <w:rsid w:val="00FA672F"/>
    <w:rsid w:val="00FA6B46"/>
    <w:rsid w:val="00FA6D2F"/>
    <w:rsid w:val="00FA7439"/>
    <w:rsid w:val="00FA7FE5"/>
    <w:rsid w:val="00FB03CE"/>
    <w:rsid w:val="00FB2715"/>
    <w:rsid w:val="00FB2D6C"/>
    <w:rsid w:val="00FB3117"/>
    <w:rsid w:val="00FB344A"/>
    <w:rsid w:val="00FB3583"/>
    <w:rsid w:val="00FB49CB"/>
    <w:rsid w:val="00FB5557"/>
    <w:rsid w:val="00FB75C7"/>
    <w:rsid w:val="00FC025E"/>
    <w:rsid w:val="00FC0C27"/>
    <w:rsid w:val="00FC17E6"/>
    <w:rsid w:val="00FC1800"/>
    <w:rsid w:val="00FC27F5"/>
    <w:rsid w:val="00FC2A4B"/>
    <w:rsid w:val="00FC3922"/>
    <w:rsid w:val="00FD0635"/>
    <w:rsid w:val="00FD56E5"/>
    <w:rsid w:val="00FD7FD1"/>
    <w:rsid w:val="00FE02CD"/>
    <w:rsid w:val="00FE186A"/>
    <w:rsid w:val="00FE1E6D"/>
    <w:rsid w:val="00FE45A0"/>
    <w:rsid w:val="00FE50D2"/>
    <w:rsid w:val="00FE6932"/>
    <w:rsid w:val="00FE7138"/>
    <w:rsid w:val="00FE7529"/>
    <w:rsid w:val="00FF192A"/>
    <w:rsid w:val="00FF1B69"/>
    <w:rsid w:val="00FF1F51"/>
    <w:rsid w:val="00FF208E"/>
    <w:rsid w:val="00FF355A"/>
    <w:rsid w:val="00FF3F97"/>
    <w:rsid w:val="00FF4559"/>
    <w:rsid w:val="00FF5869"/>
    <w:rsid w:val="00FF63D2"/>
    <w:rsid w:val="00FF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CAF"/>
  </w:style>
  <w:style w:type="paragraph" w:styleId="Heading1">
    <w:name w:val="heading 1"/>
    <w:basedOn w:val="Normal"/>
    <w:link w:val="Heading1Char"/>
    <w:uiPriority w:val="9"/>
    <w:qFormat/>
    <w:rsid w:val="0031681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19E"/>
  </w:style>
  <w:style w:type="paragraph" w:styleId="Footer">
    <w:name w:val="footer"/>
    <w:basedOn w:val="Normal"/>
    <w:link w:val="FooterChar"/>
    <w:uiPriority w:val="99"/>
    <w:unhideWhenUsed/>
    <w:rsid w:val="00933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19E"/>
  </w:style>
  <w:style w:type="character" w:styleId="Hyperlink">
    <w:name w:val="Hyperlink"/>
    <w:basedOn w:val="DefaultParagraphFont"/>
    <w:uiPriority w:val="99"/>
    <w:unhideWhenUsed/>
    <w:rsid w:val="00FD0635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F19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98D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1536D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F3A4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16814"/>
    <w:rPr>
      <w:rFonts w:eastAsia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64BE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F583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64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4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6436"/>
    <w:rPr>
      <w:vertAlign w:val="superscript"/>
    </w:rPr>
  </w:style>
  <w:style w:type="character" w:customStyle="1" w:styleId="documentbody">
    <w:name w:val="documentbody"/>
    <w:basedOn w:val="DefaultParagraphFont"/>
    <w:rsid w:val="00772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rade.com/index.php?cmd=show_article&amp;id=364" TargetMode="External"/><Relationship Id="rId13" Type="http://schemas.openxmlformats.org/officeDocument/2006/relationships/hyperlink" Target="http://tonto.eia.doe.gov/cfapps/ipdbproject/IEDIndex3.cfm?tid=5&amp;pid=53&amp;aid=1" TargetMode="External"/><Relationship Id="rId18" Type="http://schemas.openxmlformats.org/officeDocument/2006/relationships/hyperlink" Target="http://www.climit.no/frontend/files/CONTENT/CLIMIT_programplan_rev_nov2008_eng-v02.pdf" TargetMode="External"/><Relationship Id="rId26" Type="http://schemas.openxmlformats.org/officeDocument/2006/relationships/hyperlink" Target="http://www.scanwind.com/" TargetMode="External"/><Relationship Id="rId3" Type="http://schemas.openxmlformats.org/officeDocument/2006/relationships/hyperlink" Target="http://www.iags.org/n0524043.htm" TargetMode="External"/><Relationship Id="rId21" Type="http://schemas.openxmlformats.org/officeDocument/2006/relationships/hyperlink" Target="http://www.ife.no/ife_news/2008/licence2008" TargetMode="External"/><Relationship Id="rId34" Type="http://schemas.openxmlformats.org/officeDocument/2006/relationships/hyperlink" Target="http://www.mazda.com/csr/special_features/env/01-06-02.html" TargetMode="External"/><Relationship Id="rId7" Type="http://schemas.openxmlformats.org/officeDocument/2006/relationships/hyperlink" Target="http://www.regjeringen.no/en/dep/oed/Subject/Energy-in-Norway/The-power-market.html?id=443423" TargetMode="External"/><Relationship Id="rId12" Type="http://schemas.openxmlformats.org/officeDocument/2006/relationships/hyperlink" Target="http://www.regjeringen.no/upload/kilde/oed/rap/2000/0003/ddd/pdfv/115861-eng_oversettelse_kap1_og_2.pdf" TargetMode="External"/><Relationship Id="rId17" Type="http://schemas.openxmlformats.org/officeDocument/2006/relationships/hyperlink" Target="http://www.statoilhydro.com/en/TechnologyInnovation/ProtectingTheEnvironment/CarboncaptureAndStorage/Pages/CaptureAndStorageSnohvit.aspx" TargetMode="External"/><Relationship Id="rId25" Type="http://schemas.openxmlformats.org/officeDocument/2006/relationships/hyperlink" Target="http://www.norcowe.no/index.cfm?id=229099" TargetMode="External"/><Relationship Id="rId33" Type="http://schemas.openxmlformats.org/officeDocument/2006/relationships/hyperlink" Target="http://www.hydrogencarsnow.com/norway-hynor-project.htm" TargetMode="External"/><Relationship Id="rId2" Type="http://schemas.openxmlformats.org/officeDocument/2006/relationships/hyperlink" Target="http://www.bp.com/productlanding.do?categoryId=6929&amp;contentId=7044622" TargetMode="External"/><Relationship Id="rId16" Type="http://schemas.openxmlformats.org/officeDocument/2006/relationships/hyperlink" Target="http://www.statoilhydro.com/en/NewsAndMedia/News/2008/Pages/C02Capture10000.aspx" TargetMode="External"/><Relationship Id="rId20" Type="http://schemas.openxmlformats.org/officeDocument/2006/relationships/hyperlink" Target="http://waveenergy.no/technology_innovation/" TargetMode="External"/><Relationship Id="rId29" Type="http://schemas.openxmlformats.org/officeDocument/2006/relationships/hyperlink" Target="http://sway.no/index.php?id=15" TargetMode="External"/><Relationship Id="rId1" Type="http://schemas.openxmlformats.org/officeDocument/2006/relationships/hyperlink" Target="http://www.regjeringen.no/en/dep/oed.html?id=750" TargetMode="External"/><Relationship Id="rId6" Type="http://schemas.openxmlformats.org/officeDocument/2006/relationships/hyperlink" Target="http://www.regjeringen.no/upload/OED/Rapporter/ThoriumReport2008.pdf" TargetMode="External"/><Relationship Id="rId11" Type="http://schemas.openxmlformats.org/officeDocument/2006/relationships/hyperlink" Target="http://www.regjeringen.no/en/dep/oed/Subject/Energy-and-petroleum-research/research-policy-within-energy-and-petrol.html?id=443525" TargetMode="External"/><Relationship Id="rId24" Type="http://schemas.openxmlformats.org/officeDocument/2006/relationships/hyperlink" Target="http://www.reuters.com/article/rbssEnergyNews/idUSL2648359020080526" TargetMode="External"/><Relationship Id="rId32" Type="http://schemas.openxmlformats.org/officeDocument/2006/relationships/hyperlink" Target="http://www.hynor.no/hydrogen-highway-opens-in-norway" TargetMode="External"/><Relationship Id="rId37" Type="http://schemas.openxmlformats.org/officeDocument/2006/relationships/hyperlink" Target="http://www.statkraft.com/Images/District%20heating_tcm9-2938.pdf" TargetMode="External"/><Relationship Id="rId5" Type="http://schemas.openxmlformats.org/officeDocument/2006/relationships/hyperlink" Target="http://www.agores.org/Publications/EnR/Norway-2000.pdf" TargetMode="External"/><Relationship Id="rId15" Type="http://schemas.openxmlformats.org/officeDocument/2006/relationships/hyperlink" Target="http://www.un.org/Depts/los/clcs_new/submissions_files/nor06/nor_exec_sum.pdf" TargetMode="External"/><Relationship Id="rId23" Type="http://schemas.openxmlformats.org/officeDocument/2006/relationships/hyperlink" Target="http://www.ntnu.no/gemini/2006-01e/solarcells.htm" TargetMode="External"/><Relationship Id="rId28" Type="http://schemas.openxmlformats.org/officeDocument/2006/relationships/hyperlink" Target="http://www.regjeringen.no/en/dep/oed/press-center/Press-releases/2009/opening-of-hywind--the-worlds-first-full.html?id=575870" TargetMode="External"/><Relationship Id="rId36" Type="http://schemas.openxmlformats.org/officeDocument/2006/relationships/hyperlink" Target="http://www.regjeringen.no/en/dep/oed/press-center/Press-releases/2006/Norwegian-government-with-big-effort-for-renewable-energy.html?id=419892" TargetMode="External"/><Relationship Id="rId10" Type="http://schemas.openxmlformats.org/officeDocument/2006/relationships/hyperlink" Target="http://www.nortrade.com/index.php?cmd=show_article&amp;id=290" TargetMode="External"/><Relationship Id="rId19" Type="http://schemas.openxmlformats.org/officeDocument/2006/relationships/hyperlink" Target="http://www.hammerfeststrom.com/index.php?lang=en" TargetMode="External"/><Relationship Id="rId31" Type="http://schemas.openxmlformats.org/officeDocument/2006/relationships/hyperlink" Target="http://www.sintef.no/Home/Petroleum-and-Energy/SINTEF-Energy-Research/Expertise/Wind/" TargetMode="External"/><Relationship Id="rId4" Type="http://schemas.openxmlformats.org/officeDocument/2006/relationships/hyperlink" Target="http://www.regjeringen.no/en/dep/oed/whats-new/speeches-and-articles/the_minister/speeches-and-articles/2005/uk-norway-oil-and-gas-seminar-in-london.html?id=420697" TargetMode="External"/><Relationship Id="rId9" Type="http://schemas.openxmlformats.org/officeDocument/2006/relationships/hyperlink" Target="http://www.ssb.no/folkfram_en/" TargetMode="External"/><Relationship Id="rId14" Type="http://schemas.openxmlformats.org/officeDocument/2006/relationships/hyperlink" Target="http://www.nytimes.com/2008/03/20/world/europe/20iht-norway.4.11294786.html" TargetMode="External"/><Relationship Id="rId22" Type="http://schemas.openxmlformats.org/officeDocument/2006/relationships/hyperlink" Target="http://www.cosmosmagazine.com/news/1341/green-nuclear-power-coming-norway" TargetMode="External"/><Relationship Id="rId27" Type="http://schemas.openxmlformats.org/officeDocument/2006/relationships/hyperlink" Target="http://www.statoilhydro.com/en/TechnologyInnovation/NewEnergy/RenewablePowerProduction/Onshore/Pages/Karmoy.aspx" TargetMode="External"/><Relationship Id="rId30" Type="http://schemas.openxmlformats.org/officeDocument/2006/relationships/hyperlink" Target="http://sway.no/index.php?id=16" TargetMode="External"/><Relationship Id="rId35" Type="http://schemas.openxmlformats.org/officeDocument/2006/relationships/hyperlink" Target="http://www.norway.org.uk/Embassy/faq/tax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scuela\SMU\2L\Oil%20and%20Gas%20Ks\Norwegian%20Energy%20Policy\statistical_review_of_world_energy_full_report_2009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scuela\SMU\2L\Oil%20and%20Gas%20Ks\Norwegian%20Energy%20Policy\statistical_review_of_world_energy_full_report_2009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scuela\SMU\2L\Oil%20and%20Gas%20Ks\Norwegian%20Energy%20Policy\statistical_review_of_world_energy_full_report_2009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scuela\SMU\2L\Oil%20and%20Gas%20Ks\Norwegian%20Energy%20Policy\statistical_review_of_world_energy_full_report_2009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scuela\SMU\2L\Oil%20and%20Gas%20Ks\Norwegian%20Energy%20Policy\statistical_review_of_world_energy_full_report_2009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scuela\SMU\2L\Oil%20and%20Gas%20Ks\Norwegian%20Energy%20Policy\statistical_review_of_world_energy_full_report_2009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scuela\SMU\2L\Oil%20and%20Gas%20Ks\Norwegian%20Energy%20Policy\statistical_review_of_world_energy_full_report_200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400"/>
              <a:t>1970 Consumption [mtoe]</a:t>
            </a:r>
          </a:p>
        </c:rich>
      </c:tx>
      <c:layout>
        <c:manualLayout>
          <c:xMode val="edge"/>
          <c:yMode val="edge"/>
          <c:x val="0.1763538036117703"/>
          <c:y val="2.6682606197297908E-2"/>
        </c:manualLayout>
      </c:layout>
    </c:title>
    <c:plotArea>
      <c:layout>
        <c:manualLayout>
          <c:layoutTarget val="inner"/>
          <c:xMode val="edge"/>
          <c:yMode val="edge"/>
          <c:x val="0.17167149188318673"/>
          <c:y val="0.18506962671332791"/>
          <c:w val="0.50905530251342335"/>
          <c:h val="0.7547451881014966"/>
        </c:manualLayout>
      </c:layout>
      <c:pieChart>
        <c:varyColors val="1"/>
        <c:ser>
          <c:idx val="0"/>
          <c:order val="0"/>
          <c:tx>
            <c:strRef>
              <c:f>Norway!$B$13</c:f>
              <c:strCache>
                <c:ptCount val="1"/>
                <c:pt idx="0">
                  <c:v>1970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Lbls>
            <c:dLbl>
              <c:idx val="1"/>
              <c:delete val="1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 sz="1200" baseline="0"/>
                </a:pPr>
                <a:endParaRPr lang="en-US"/>
              </a:p>
            </c:txPr>
            <c:showPercent val="1"/>
            <c:showLeaderLines val="1"/>
          </c:dLbls>
          <c:cat>
            <c:strRef>
              <c:f>Norway!$A$15:$A$19</c:f>
              <c:strCache>
                <c:ptCount val="5"/>
                <c:pt idx="0">
                  <c:v>oil</c:v>
                </c:pt>
                <c:pt idx="1">
                  <c:v>gas</c:v>
                </c:pt>
                <c:pt idx="2">
                  <c:v>coal</c:v>
                </c:pt>
                <c:pt idx="3">
                  <c:v>nuclear</c:v>
                </c:pt>
                <c:pt idx="4">
                  <c:v>hydro</c:v>
                </c:pt>
              </c:strCache>
            </c:strRef>
          </c:cat>
          <c:val>
            <c:numRef>
              <c:f>Norway!$B$15:$B$19</c:f>
              <c:numCache>
                <c:formatCode>0.0</c:formatCode>
                <c:ptCount val="5"/>
                <c:pt idx="0">
                  <c:v>8.2960000000000012</c:v>
                </c:pt>
                <c:pt idx="1">
                  <c:v>0</c:v>
                </c:pt>
                <c:pt idx="2">
                  <c:v>1.032999999999985</c:v>
                </c:pt>
                <c:pt idx="3">
                  <c:v>0</c:v>
                </c:pt>
                <c:pt idx="4">
                  <c:v>13.091000000000001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txPr>
        <a:bodyPr/>
        <a:lstStyle/>
        <a:p>
          <a:pPr>
            <a:defRPr sz="1200" baseline="0"/>
          </a:pPr>
          <a:endParaRPr lang="en-US"/>
        </a:p>
      </c:txPr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400"/>
              <a:t>2008 Consumption</a:t>
            </a:r>
            <a:r>
              <a:rPr lang="en-US" sz="1400" baseline="0"/>
              <a:t> [mtoe]</a:t>
            </a:r>
            <a:endParaRPr lang="en-US" sz="1400"/>
          </a:p>
        </c:rich>
      </c:tx>
    </c:title>
    <c:plotArea>
      <c:layout>
        <c:manualLayout>
          <c:layoutTarget val="inner"/>
          <c:xMode val="edge"/>
          <c:yMode val="edge"/>
          <c:x val="0.16019518686924741"/>
          <c:y val="0.20471791541521414"/>
          <c:w val="0.49097236084927059"/>
          <c:h val="0.71874304371748055"/>
        </c:manualLayout>
      </c:layout>
      <c:pieChart>
        <c:varyColors val="1"/>
        <c:ser>
          <c:idx val="0"/>
          <c:order val="0"/>
          <c:tx>
            <c:strRef>
              <c:f>Norway!$AN$13</c:f>
              <c:strCache>
                <c:ptCount val="1"/>
                <c:pt idx="0">
                  <c:v>2008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Lbls>
            <c:dLbl>
              <c:idx val="3"/>
              <c:delete val="1"/>
            </c:dLbl>
            <c:txPr>
              <a:bodyPr/>
              <a:lstStyle/>
              <a:p>
                <a:pPr>
                  <a:defRPr sz="1200" baseline="0"/>
                </a:pPr>
                <a:endParaRPr lang="en-US"/>
              </a:p>
            </c:txPr>
            <c:showPercent val="1"/>
            <c:showLeaderLines val="1"/>
          </c:dLbls>
          <c:cat>
            <c:strRef>
              <c:f>Norway!$A$15:$A$19</c:f>
              <c:strCache>
                <c:ptCount val="5"/>
                <c:pt idx="0">
                  <c:v>oil</c:v>
                </c:pt>
                <c:pt idx="1">
                  <c:v>gas</c:v>
                </c:pt>
                <c:pt idx="2">
                  <c:v>coal</c:v>
                </c:pt>
                <c:pt idx="3">
                  <c:v>nuclear</c:v>
                </c:pt>
                <c:pt idx="4">
                  <c:v>hydro</c:v>
                </c:pt>
              </c:strCache>
            </c:strRef>
          </c:cat>
          <c:val>
            <c:numRef>
              <c:f>Norway!$AN$15:$AN$19</c:f>
              <c:numCache>
                <c:formatCode>0.0</c:formatCode>
                <c:ptCount val="5"/>
                <c:pt idx="0">
                  <c:v>9.7527037157100018</c:v>
                </c:pt>
                <c:pt idx="1">
                  <c:v>3.9545999999999997</c:v>
                </c:pt>
                <c:pt idx="2">
                  <c:v>0.45373119999999995</c:v>
                </c:pt>
                <c:pt idx="3">
                  <c:v>0</c:v>
                </c:pt>
                <c:pt idx="4">
                  <c:v>31.796601348599189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txPr>
        <a:bodyPr/>
        <a:lstStyle/>
        <a:p>
          <a:pPr>
            <a:defRPr sz="1200" baseline="0"/>
          </a:pPr>
          <a:endParaRPr lang="en-US"/>
        </a:p>
      </c:txPr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Energy Consumption</a:t>
            </a:r>
          </a:p>
        </c:rich>
      </c:tx>
      <c:layout>
        <c:manualLayout>
          <c:xMode val="edge"/>
          <c:yMode val="edge"/>
          <c:x val="0.31002888789845701"/>
          <c:y val="1.3840769903762295E-2"/>
        </c:manualLayout>
      </c:layout>
      <c:overlay val="1"/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0.18066976567688076"/>
          <c:y val="0.10314724500268038"/>
          <c:w val="0.75631382221801435"/>
          <c:h val="0.75640971349170505"/>
        </c:manualLayout>
      </c:layout>
      <c:bar3DChart>
        <c:barDir val="bar"/>
        <c:grouping val="clustered"/>
        <c:ser>
          <c:idx val="0"/>
          <c:order val="0"/>
          <c:tx>
            <c:strRef>
              <c:f>graphs!$T$2</c:f>
              <c:strCache>
                <c:ptCount val="1"/>
                <c:pt idx="0">
                  <c:v>1970</c:v>
                </c:pt>
              </c:strCache>
            </c:strRef>
          </c:tx>
          <c:cat>
            <c:strRef>
              <c:f>(graphs!$S$4:$S$6,graphs!$S$8)</c:f>
              <c:strCache>
                <c:ptCount val="4"/>
                <c:pt idx="0">
                  <c:v>oil</c:v>
                </c:pt>
                <c:pt idx="1">
                  <c:v>gas</c:v>
                </c:pt>
                <c:pt idx="2">
                  <c:v>coal</c:v>
                </c:pt>
                <c:pt idx="3">
                  <c:v>hydro</c:v>
                </c:pt>
              </c:strCache>
            </c:strRef>
          </c:cat>
          <c:val>
            <c:numRef>
              <c:f>(graphs!$T$4:$T$6,graphs!$T$8)</c:f>
              <c:numCache>
                <c:formatCode>0.0</c:formatCode>
                <c:ptCount val="4"/>
                <c:pt idx="0">
                  <c:v>8.2960000000000012</c:v>
                </c:pt>
                <c:pt idx="1">
                  <c:v>0</c:v>
                </c:pt>
                <c:pt idx="2">
                  <c:v>1.0329999999999855</c:v>
                </c:pt>
                <c:pt idx="3">
                  <c:v>13.091000000000001</c:v>
                </c:pt>
              </c:numCache>
            </c:numRef>
          </c:val>
        </c:ser>
        <c:ser>
          <c:idx val="1"/>
          <c:order val="1"/>
          <c:tx>
            <c:strRef>
              <c:f>graphs!$U$2</c:f>
              <c:strCache>
                <c:ptCount val="1"/>
                <c:pt idx="0">
                  <c:v>2008</c:v>
                </c:pt>
              </c:strCache>
            </c:strRef>
          </c:tx>
          <c:cat>
            <c:strRef>
              <c:f>(graphs!$S$4:$S$6,graphs!$S$8)</c:f>
              <c:strCache>
                <c:ptCount val="4"/>
                <c:pt idx="0">
                  <c:v>oil</c:v>
                </c:pt>
                <c:pt idx="1">
                  <c:v>gas</c:v>
                </c:pt>
                <c:pt idx="2">
                  <c:v>coal</c:v>
                </c:pt>
                <c:pt idx="3">
                  <c:v>hydro</c:v>
                </c:pt>
              </c:strCache>
            </c:strRef>
          </c:cat>
          <c:val>
            <c:numRef>
              <c:f>(graphs!$U$4:$U$6,graphs!$U$8)</c:f>
              <c:numCache>
                <c:formatCode>0.0</c:formatCode>
                <c:ptCount val="4"/>
                <c:pt idx="0">
                  <c:v>9.7527037157100018</c:v>
                </c:pt>
                <c:pt idx="1">
                  <c:v>3.9545999999999997</c:v>
                </c:pt>
                <c:pt idx="2">
                  <c:v>0.45373119999999995</c:v>
                </c:pt>
                <c:pt idx="3">
                  <c:v>31.796601348599189</c:v>
                </c:pt>
              </c:numCache>
            </c:numRef>
          </c:val>
        </c:ser>
        <c:shape val="box"/>
        <c:axId val="41502208"/>
        <c:axId val="41504128"/>
        <c:axId val="0"/>
      </c:bar3DChart>
      <c:catAx>
        <c:axId val="4150220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Energy Type Consumed [Mtonnes]</a:t>
                </a:r>
              </a:p>
            </c:rich>
          </c:tx>
        </c:title>
        <c:numFmt formatCode="General" sourceLinked="1"/>
        <c:tickLblPos val="nextTo"/>
        <c:crossAx val="41504128"/>
        <c:crosses val="autoZero"/>
        <c:auto val="1"/>
        <c:lblAlgn val="ctr"/>
        <c:lblOffset val="100"/>
      </c:catAx>
      <c:valAx>
        <c:axId val="41504128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Mtonnes</a:t>
                </a:r>
              </a:p>
            </c:rich>
          </c:tx>
          <c:layout>
            <c:manualLayout>
              <c:xMode val="edge"/>
              <c:yMode val="edge"/>
              <c:x val="0.46462697407023917"/>
              <c:y val="0.91988670919197157"/>
            </c:manualLayout>
          </c:layout>
        </c:title>
        <c:numFmt formatCode="0.0" sourceLinked="1"/>
        <c:tickLblPos val="nextTo"/>
        <c:crossAx val="415022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103776741151264"/>
          <c:y val="0.29371298090447939"/>
          <c:w val="0.14505155394269414"/>
          <c:h val="0.34535113235804882"/>
        </c:manualLayout>
      </c:layout>
      <c:overlay val="1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Oil &amp; Gas Production/Consumption</a:t>
            </a:r>
          </a:p>
        </c:rich>
      </c:tx>
    </c:title>
    <c:plotArea>
      <c:layout>
        <c:manualLayout>
          <c:layoutTarget val="inner"/>
          <c:xMode val="edge"/>
          <c:yMode val="edge"/>
          <c:x val="0.11449831718133505"/>
          <c:y val="0.15329280344667592"/>
          <c:w val="0.857505419217512"/>
          <c:h val="0.62091423969756465"/>
        </c:manualLayout>
      </c:layout>
      <c:lineChart>
        <c:grouping val="standard"/>
        <c:ser>
          <c:idx val="0"/>
          <c:order val="0"/>
          <c:tx>
            <c:strRef>
              <c:f>Norway!$A$27</c:f>
              <c:strCache>
                <c:ptCount val="1"/>
                <c:pt idx="0">
                  <c:v>Norway</c:v>
                </c:pt>
              </c:strCache>
            </c:strRef>
          </c:tx>
          <c:dPt>
            <c:idx val="5"/>
            <c:marker>
              <c:symbol val="diamond"/>
              <c:size val="12"/>
            </c:marker>
          </c:dPt>
          <c:cat>
            <c:numRef>
              <c:f>Norway!$B$1:$AN$1</c:f>
              <c:numCache>
                <c:formatCode>General</c:formatCode>
                <c:ptCount val="39"/>
                <c:pt idx="0">
                  <c:v>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</c:numCache>
            </c:numRef>
          </c:cat>
          <c:val>
            <c:numRef>
              <c:f>Norway!$B$27:$AN$27</c:f>
              <c:numCache>
                <c:formatCode>General</c:formatCode>
                <c:ptCount val="39"/>
                <c:pt idx="0">
                  <c:v>0</c:v>
                </c:pt>
                <c:pt idx="1">
                  <c:v>3.5548901003290674E-2</c:v>
                </c:pt>
                <c:pt idx="2">
                  <c:v>0.18920856366919891</c:v>
                </c:pt>
                <c:pt idx="3">
                  <c:v>0.18226886030153044</c:v>
                </c:pt>
                <c:pt idx="4">
                  <c:v>0.22223652576899935</c:v>
                </c:pt>
                <c:pt idx="5">
                  <c:v>1.150379641123576</c:v>
                </c:pt>
                <c:pt idx="6">
                  <c:v>1.5210701145487393</c:v>
                </c:pt>
                <c:pt idx="7">
                  <c:v>1.7804820964796912</c:v>
                </c:pt>
                <c:pt idx="8">
                  <c:v>3.0454153877396926</c:v>
                </c:pt>
                <c:pt idx="9">
                  <c:v>3.7216760942953653</c:v>
                </c:pt>
                <c:pt idx="10">
                  <c:v>4.7642923238206913</c:v>
                </c:pt>
                <c:pt idx="11">
                  <c:v>4.8691116247277071</c:v>
                </c:pt>
                <c:pt idx="12">
                  <c:v>5.0842586145516746</c:v>
                </c:pt>
                <c:pt idx="13">
                  <c:v>5.6533492441909106</c:v>
                </c:pt>
                <c:pt idx="14">
                  <c:v>6.1767770434060632</c:v>
                </c:pt>
                <c:pt idx="15">
                  <c:v>6.255886507341069</c:v>
                </c:pt>
                <c:pt idx="16">
                  <c:v>6.3456448875017548</c:v>
                </c:pt>
                <c:pt idx="17">
                  <c:v>6.8573368562349604</c:v>
                </c:pt>
                <c:pt idx="18">
                  <c:v>7.6289466400833685</c:v>
                </c:pt>
                <c:pt idx="19">
                  <c:v>9.3568328521583943</c:v>
                </c:pt>
                <c:pt idx="20">
                  <c:v>9.4635730427204017</c:v>
                </c:pt>
                <c:pt idx="21">
                  <c:v>10.707236372649941</c:v>
                </c:pt>
                <c:pt idx="22">
                  <c:v>11.515811586776547</c:v>
                </c:pt>
                <c:pt idx="23">
                  <c:v>11.441584980157065</c:v>
                </c:pt>
                <c:pt idx="24">
                  <c:v>12.461529022595006</c:v>
                </c:pt>
                <c:pt idx="25">
                  <c:v>13.287210348292998</c:v>
                </c:pt>
                <c:pt idx="26">
                  <c:v>14.545124221227821</c:v>
                </c:pt>
                <c:pt idx="27">
                  <c:v>14.345449415420486</c:v>
                </c:pt>
                <c:pt idx="28">
                  <c:v>14.154362110410315</c:v>
                </c:pt>
                <c:pt idx="29">
                  <c:v>14.53856056699016</c:v>
                </c:pt>
                <c:pt idx="30">
                  <c:v>15.738154657477768</c:v>
                </c:pt>
                <c:pt idx="31">
                  <c:v>16.155049549815942</c:v>
                </c:pt>
                <c:pt idx="32">
                  <c:v>16.588584739717721</c:v>
                </c:pt>
                <c:pt idx="33">
                  <c:v>15.846572987406304</c:v>
                </c:pt>
                <c:pt idx="34">
                  <c:v>16.05933861865099</c:v>
                </c:pt>
                <c:pt idx="35">
                  <c:v>15.641889877263306</c:v>
                </c:pt>
                <c:pt idx="36">
                  <c:v>14.879811603269276</c:v>
                </c:pt>
                <c:pt idx="37">
                  <c:v>14.242663797512668</c:v>
                </c:pt>
                <c:pt idx="38">
                  <c:v>14.848884897984474</c:v>
                </c:pt>
              </c:numCache>
            </c:numRef>
          </c:val>
        </c:ser>
        <c:ser>
          <c:idx val="1"/>
          <c:order val="1"/>
          <c:tx>
            <c:strRef>
              <c:f>Norway!$A$44</c:f>
              <c:strCache>
                <c:ptCount val="1"/>
                <c:pt idx="0">
                  <c:v>United States</c:v>
                </c:pt>
              </c:strCache>
            </c:strRef>
          </c:tx>
          <c:marker>
            <c:symbol val="square"/>
            <c:size val="5"/>
          </c:marker>
          <c:val>
            <c:numRef>
              <c:f>Norway!$B$44:$AN$44</c:f>
              <c:numCache>
                <c:formatCode>General</c:formatCode>
                <c:ptCount val="39"/>
                <c:pt idx="0">
                  <c:v>0.86787150116349143</c:v>
                </c:pt>
                <c:pt idx="1">
                  <c:v>0.84586840612531622</c:v>
                </c:pt>
                <c:pt idx="2">
                  <c:v>0.80687664455550923</c:v>
                </c:pt>
                <c:pt idx="3">
                  <c:v>0.77509445992671355</c:v>
                </c:pt>
                <c:pt idx="4">
                  <c:v>0.77122680822285661</c:v>
                </c:pt>
                <c:pt idx="5">
                  <c:v>0.76046018695288742</c:v>
                </c:pt>
                <c:pt idx="6">
                  <c:v>0.71075423590416165</c:v>
                </c:pt>
                <c:pt idx="7">
                  <c:v>0.69866959911815962</c:v>
                </c:pt>
                <c:pt idx="8">
                  <c:v>0.70015060925236949</c:v>
                </c:pt>
                <c:pt idx="9">
                  <c:v>0.70774886230215905</c:v>
                </c:pt>
                <c:pt idx="10">
                  <c:v>0.75296157780667183</c:v>
                </c:pt>
                <c:pt idx="11">
                  <c:v>0.78418211102093305</c:v>
                </c:pt>
                <c:pt idx="12">
                  <c:v>0.80675405356051511</c:v>
                </c:pt>
                <c:pt idx="13">
                  <c:v>0.79125215217081868</c:v>
                </c:pt>
                <c:pt idx="14">
                  <c:v>0.80042467176224807</c:v>
                </c:pt>
                <c:pt idx="15">
                  <c:v>0.79446561797836779</c:v>
                </c:pt>
                <c:pt idx="16">
                  <c:v>0.77019398773041969</c:v>
                </c:pt>
                <c:pt idx="17">
                  <c:v>0.74347036561097879</c:v>
                </c:pt>
                <c:pt idx="18">
                  <c:v>0.7153954344457043</c:v>
                </c:pt>
                <c:pt idx="19">
                  <c:v>0.68160330147994752</c:v>
                </c:pt>
                <c:pt idx="20">
                  <c:v>0.68850977627839072</c:v>
                </c:pt>
                <c:pt idx="21">
                  <c:v>0.69449292300778587</c:v>
                </c:pt>
                <c:pt idx="22">
                  <c:v>0.67171796642933079</c:v>
                </c:pt>
                <c:pt idx="23">
                  <c:v>0.65342291160114063</c:v>
                </c:pt>
                <c:pt idx="24">
                  <c:v>0.64471194568989498</c:v>
                </c:pt>
                <c:pt idx="25">
                  <c:v>0.62683779135143813</c:v>
                </c:pt>
                <c:pt idx="26">
                  <c:v>0.61310088222533365</c:v>
                </c:pt>
                <c:pt idx="27">
                  <c:v>0.60610899602219026</c:v>
                </c:pt>
                <c:pt idx="28">
                  <c:v>0.59926086366857911</c:v>
                </c:pt>
                <c:pt idx="29">
                  <c:v>0.57290351491819991</c:v>
                </c:pt>
                <c:pt idx="30">
                  <c:v>0.56613870772282759</c:v>
                </c:pt>
                <c:pt idx="31">
                  <c:v>0.58327695340180452</c:v>
                </c:pt>
                <c:pt idx="32">
                  <c:v>0.56116234134811749</c:v>
                </c:pt>
                <c:pt idx="33">
                  <c:v>0.56042302291832169</c:v>
                </c:pt>
                <c:pt idx="34">
                  <c:v>0.5307869325079605</c:v>
                </c:pt>
                <c:pt idx="35">
                  <c:v>0.51389381958201585</c:v>
                </c:pt>
                <c:pt idx="36">
                  <c:v>0.5250389822495769</c:v>
                </c:pt>
                <c:pt idx="37">
                  <c:v>0.52301351697995357</c:v>
                </c:pt>
                <c:pt idx="38">
                  <c:v>0.56426569595915899</c:v>
                </c:pt>
              </c:numCache>
            </c:numRef>
          </c:val>
        </c:ser>
        <c:marker val="1"/>
        <c:axId val="41537920"/>
        <c:axId val="41539840"/>
      </c:lineChart>
      <c:catAx>
        <c:axId val="415379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</c:title>
        <c:numFmt formatCode="General" sourceLinked="1"/>
        <c:tickLblPos val="nextTo"/>
        <c:crossAx val="41539840"/>
        <c:crosses val="autoZero"/>
        <c:auto val="1"/>
        <c:lblAlgn val="ctr"/>
        <c:lblOffset val="100"/>
        <c:tickLblSkip val="2"/>
      </c:catAx>
      <c:valAx>
        <c:axId val="415398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Oil &amp; Gas Production/Consumption [Mtoe/Mtoe]</a:t>
                </a:r>
              </a:p>
            </c:rich>
          </c:tx>
        </c:title>
        <c:numFmt formatCode="General" sourceLinked="1"/>
        <c:tickLblPos val="nextTo"/>
        <c:crossAx val="41537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909426013691461"/>
          <c:y val="0.46370530601452375"/>
          <c:w val="0.21687577400759714"/>
          <c:h val="0.19370529008580892"/>
        </c:manualLayout>
      </c:layout>
      <c:overlay val="1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Consumption/CO2</a:t>
            </a:r>
            <a:r>
              <a:rPr lang="en-US" baseline="0"/>
              <a:t> Output Ratio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Norway!$A$24</c:f>
              <c:strCache>
                <c:ptCount val="1"/>
                <c:pt idx="0">
                  <c:v>Norway</c:v>
                </c:pt>
              </c:strCache>
            </c:strRef>
          </c:tx>
          <c:cat>
            <c:numRef>
              <c:f>Norway!$B$1:$AN$1</c:f>
              <c:numCache>
                <c:formatCode>General</c:formatCode>
                <c:ptCount val="39"/>
                <c:pt idx="0">
                  <c:v>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</c:numCache>
            </c:numRef>
          </c:cat>
          <c:val>
            <c:numRef>
              <c:f>Norway!$B$24:$AN$24</c:f>
              <c:numCache>
                <c:formatCode>General</c:formatCode>
                <c:ptCount val="39"/>
                <c:pt idx="0">
                  <c:v>0.75635003420780456</c:v>
                </c:pt>
                <c:pt idx="1">
                  <c:v>0.81235075416376989</c:v>
                </c:pt>
                <c:pt idx="2">
                  <c:v>0.84000282296865003</c:v>
                </c:pt>
                <c:pt idx="3">
                  <c:v>0.90616235455784289</c:v>
                </c:pt>
                <c:pt idx="4">
                  <c:v>0.98226063190083457</c:v>
                </c:pt>
                <c:pt idx="5">
                  <c:v>0.96562924388474436</c:v>
                </c:pt>
                <c:pt idx="6">
                  <c:v>0.94511418712162576</c:v>
                </c:pt>
                <c:pt idx="7">
                  <c:v>0.86317076292318073</c:v>
                </c:pt>
                <c:pt idx="8">
                  <c:v>0.91592225783480374</c:v>
                </c:pt>
                <c:pt idx="9">
                  <c:v>0.94757459233822061</c:v>
                </c:pt>
                <c:pt idx="10">
                  <c:v>0.9264971169193057</c:v>
                </c:pt>
                <c:pt idx="11">
                  <c:v>1.0188746468289798</c:v>
                </c:pt>
                <c:pt idx="12">
                  <c:v>1.0419690862802298</c:v>
                </c:pt>
                <c:pt idx="13">
                  <c:v>1.1413891735377242</c:v>
                </c:pt>
                <c:pt idx="14">
                  <c:v>1.1040516097498849</c:v>
                </c:pt>
                <c:pt idx="15">
                  <c:v>1.0521022152268564</c:v>
                </c:pt>
                <c:pt idx="16">
                  <c:v>0.98947413246258564</c:v>
                </c:pt>
                <c:pt idx="17">
                  <c:v>1.0102071780331983</c:v>
                </c:pt>
                <c:pt idx="18">
                  <c:v>1.0600748223615051</c:v>
                </c:pt>
                <c:pt idx="19">
                  <c:v>1.1234579383140046</c:v>
                </c:pt>
                <c:pt idx="20">
                  <c:v>1.1235873209878191</c:v>
                </c:pt>
                <c:pt idx="21">
                  <c:v>1.0824446024528216</c:v>
                </c:pt>
                <c:pt idx="22">
                  <c:v>1.0973208682208517</c:v>
                </c:pt>
                <c:pt idx="23">
                  <c:v>1.0676167157934742</c:v>
                </c:pt>
                <c:pt idx="24">
                  <c:v>1.0039255627964558</c:v>
                </c:pt>
                <c:pt idx="25">
                  <c:v>1.0560476521022628</c:v>
                </c:pt>
                <c:pt idx="26">
                  <c:v>0.92049634222451071</c:v>
                </c:pt>
                <c:pt idx="27">
                  <c:v>0.93817311451587826</c:v>
                </c:pt>
                <c:pt idx="28">
                  <c:v>0.9735989614687286</c:v>
                </c:pt>
                <c:pt idx="29">
                  <c:v>1.0075632529458058</c:v>
                </c:pt>
                <c:pt idx="30">
                  <c:v>1.1450587473315581</c:v>
                </c:pt>
                <c:pt idx="31">
                  <c:v>1.0251463089798958</c:v>
                </c:pt>
                <c:pt idx="32">
                  <c:v>1.0840334266791127</c:v>
                </c:pt>
                <c:pt idx="33">
                  <c:v>0.91946957941194041</c:v>
                </c:pt>
                <c:pt idx="34">
                  <c:v>0.93993897686205519</c:v>
                </c:pt>
                <c:pt idx="35">
                  <c:v>1.0939717735797878</c:v>
                </c:pt>
                <c:pt idx="36">
                  <c:v>0.9947775689973668</c:v>
                </c:pt>
                <c:pt idx="37">
                  <c:v>1.070310270216378</c:v>
                </c:pt>
                <c:pt idx="38">
                  <c:v>1.1177764334669067</c:v>
                </c:pt>
              </c:numCache>
            </c:numRef>
          </c:val>
        </c:ser>
        <c:ser>
          <c:idx val="1"/>
          <c:order val="1"/>
          <c:tx>
            <c:strRef>
              <c:f>Norway!$A$32</c:f>
              <c:strCache>
                <c:ptCount val="1"/>
                <c:pt idx="0">
                  <c:v>United States</c:v>
                </c:pt>
              </c:strCache>
            </c:strRef>
          </c:tx>
          <c:marker>
            <c:symbol val="square"/>
            <c:size val="4"/>
          </c:marker>
          <c:val>
            <c:numRef>
              <c:f>Norway!$B$32:$AN$32</c:f>
              <c:numCache>
                <c:formatCode>0.0</c:formatCode>
                <c:ptCount val="39"/>
                <c:pt idx="0">
                  <c:v>0.34724958715533194</c:v>
                </c:pt>
                <c:pt idx="1">
                  <c:v>0.35062145947344636</c:v>
                </c:pt>
                <c:pt idx="2">
                  <c:v>0.35003153444908525</c:v>
                </c:pt>
                <c:pt idx="3">
                  <c:v>0.34887502258830694</c:v>
                </c:pt>
                <c:pt idx="4">
                  <c:v>0.35207928464274396</c:v>
                </c:pt>
                <c:pt idx="5">
                  <c:v>0.35359789511168138</c:v>
                </c:pt>
                <c:pt idx="6">
                  <c:v>0.35126109713115927</c:v>
                </c:pt>
                <c:pt idx="7">
                  <c:v>0.34954929057209533</c:v>
                </c:pt>
                <c:pt idx="8">
                  <c:v>0.35329463796608812</c:v>
                </c:pt>
                <c:pt idx="9">
                  <c:v>0.35083804513224798</c:v>
                </c:pt>
                <c:pt idx="10">
                  <c:v>0.35053459379674096</c:v>
                </c:pt>
                <c:pt idx="11">
                  <c:v>0.35024525998424688</c:v>
                </c:pt>
                <c:pt idx="12">
                  <c:v>0.35361949925798275</c:v>
                </c:pt>
                <c:pt idx="13">
                  <c:v>0.35304262375702045</c:v>
                </c:pt>
                <c:pt idx="14">
                  <c:v>0.3524933875838025</c:v>
                </c:pt>
                <c:pt idx="15">
                  <c:v>0.35197476383049769</c:v>
                </c:pt>
                <c:pt idx="16">
                  <c:v>0.35282833589370138</c:v>
                </c:pt>
                <c:pt idx="17">
                  <c:v>0.35208418104138345</c:v>
                </c:pt>
                <c:pt idx="18">
                  <c:v>0.35272610691553352</c:v>
                </c:pt>
                <c:pt idx="19">
                  <c:v>0.35525685257764195</c:v>
                </c:pt>
                <c:pt idx="20">
                  <c:v>0.35823320630452965</c:v>
                </c:pt>
                <c:pt idx="21">
                  <c:v>0.36061149740916648</c:v>
                </c:pt>
                <c:pt idx="22">
                  <c:v>0.35928615528829588</c:v>
                </c:pt>
                <c:pt idx="23">
                  <c:v>0.35892084292321663</c:v>
                </c:pt>
                <c:pt idx="24">
                  <c:v>0.35919229315130652</c:v>
                </c:pt>
                <c:pt idx="25">
                  <c:v>0.36287542912680693</c:v>
                </c:pt>
                <c:pt idx="26">
                  <c:v>0.36233216487709197</c:v>
                </c:pt>
                <c:pt idx="27">
                  <c:v>0.35996117089695523</c:v>
                </c:pt>
                <c:pt idx="28">
                  <c:v>0.35958231967077425</c:v>
                </c:pt>
                <c:pt idx="29">
                  <c:v>0.3611963337154378</c:v>
                </c:pt>
                <c:pt idx="30">
                  <c:v>0.35936175318887698</c:v>
                </c:pt>
                <c:pt idx="31">
                  <c:v>0.35829220280642776</c:v>
                </c:pt>
                <c:pt idx="32">
                  <c:v>0.36091425795439036</c:v>
                </c:pt>
                <c:pt idx="33">
                  <c:v>0.35935121413089982</c:v>
                </c:pt>
                <c:pt idx="34">
                  <c:v>0.35918344371050082</c:v>
                </c:pt>
                <c:pt idx="35">
                  <c:v>0.35823725750690838</c:v>
                </c:pt>
                <c:pt idx="36">
                  <c:v>0.35955127378636831</c:v>
                </c:pt>
                <c:pt idx="37">
                  <c:v>0.35917197946712931</c:v>
                </c:pt>
                <c:pt idx="38">
                  <c:v>0.36082452300932244</c:v>
                </c:pt>
              </c:numCache>
            </c:numRef>
          </c:val>
        </c:ser>
        <c:marker val="1"/>
        <c:axId val="80743424"/>
        <c:axId val="80757888"/>
      </c:lineChart>
      <c:catAx>
        <c:axId val="807434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</c:title>
        <c:numFmt formatCode="General" sourceLinked="1"/>
        <c:tickLblPos val="nextTo"/>
        <c:crossAx val="80757888"/>
        <c:crosses val="autoZero"/>
        <c:auto val="1"/>
        <c:lblAlgn val="ctr"/>
        <c:lblOffset val="100"/>
        <c:tickLblSkip val="2"/>
      </c:catAx>
      <c:valAx>
        <c:axId val="807578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Consumption/CO2 Ratio [mtoe/Mtonnes]</a:t>
                </a:r>
              </a:p>
            </c:rich>
          </c:tx>
        </c:title>
        <c:numFmt formatCode="General" sourceLinked="1"/>
        <c:tickLblPos val="nextTo"/>
        <c:crossAx val="80743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433333333333369"/>
          <c:y val="0.39539151356081104"/>
          <c:w val="0.23548622047244414"/>
          <c:h val="0.16743438320210283"/>
        </c:manualLayout>
      </c:layout>
      <c:overlay val="1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Norwegian Energy Consumption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Norway!$A$14</c:f>
              <c:strCache>
                <c:ptCount val="1"/>
                <c:pt idx="0">
                  <c:v>Consumption</c:v>
                </c:pt>
              </c:strCache>
            </c:strRef>
          </c:tx>
          <c:trendline>
            <c:trendlineType val="linear"/>
            <c:intercept val="22.4"/>
          </c:trendline>
          <c:cat>
            <c:numRef>
              <c:f>Norway!$B$1:$AZ$1</c:f>
              <c:numCache>
                <c:formatCode>General</c:formatCode>
                <c:ptCount val="51"/>
                <c:pt idx="0">
                  <c:v>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2013</c:v>
                </c:pt>
                <c:pt idx="44">
                  <c:v>2014</c:v>
                </c:pt>
                <c:pt idx="45">
                  <c:v>2015</c:v>
                </c:pt>
                <c:pt idx="46">
                  <c:v>2016</c:v>
                </c:pt>
                <c:pt idx="47">
                  <c:v>2017</c:v>
                </c:pt>
                <c:pt idx="48">
                  <c:v>2018</c:v>
                </c:pt>
                <c:pt idx="49">
                  <c:v>2019</c:v>
                </c:pt>
                <c:pt idx="50">
                  <c:v>2020</c:v>
                </c:pt>
              </c:numCache>
            </c:numRef>
          </c:cat>
          <c:val>
            <c:numRef>
              <c:f>Norway!$B$20:$AZ$20</c:f>
              <c:numCache>
                <c:formatCode>0.0</c:formatCode>
                <c:ptCount val="51"/>
                <c:pt idx="0">
                  <c:v>22.419999999999987</c:v>
                </c:pt>
                <c:pt idx="1">
                  <c:v>23.650000000000031</c:v>
                </c:pt>
                <c:pt idx="2">
                  <c:v>24.757000000000001</c:v>
                </c:pt>
                <c:pt idx="3">
                  <c:v>25.744</c:v>
                </c:pt>
                <c:pt idx="4">
                  <c:v>25.646000000000001</c:v>
                </c:pt>
                <c:pt idx="5">
                  <c:v>26.137999999999998</c:v>
                </c:pt>
                <c:pt idx="6">
                  <c:v>28.056999999999999</c:v>
                </c:pt>
                <c:pt idx="7">
                  <c:v>26.077999999999999</c:v>
                </c:pt>
                <c:pt idx="8">
                  <c:v>28.451000000000001</c:v>
                </c:pt>
                <c:pt idx="9">
                  <c:v>30.721</c:v>
                </c:pt>
                <c:pt idx="10">
                  <c:v>29.356999999999999</c:v>
                </c:pt>
                <c:pt idx="11">
                  <c:v>31.114000000000061</c:v>
                </c:pt>
                <c:pt idx="12">
                  <c:v>30.674000000000031</c:v>
                </c:pt>
                <c:pt idx="13">
                  <c:v>33.727000000000011</c:v>
                </c:pt>
                <c:pt idx="14">
                  <c:v>34.214000000000006</c:v>
                </c:pt>
                <c:pt idx="15">
                  <c:v>33.849999999999994</c:v>
                </c:pt>
                <c:pt idx="16">
                  <c:v>32.839999999999996</c:v>
                </c:pt>
                <c:pt idx="17">
                  <c:v>34.889000000000003</c:v>
                </c:pt>
                <c:pt idx="18">
                  <c:v>36.096000000000011</c:v>
                </c:pt>
                <c:pt idx="19">
                  <c:v>38.172000000000011</c:v>
                </c:pt>
                <c:pt idx="20">
                  <c:v>39.076000000000001</c:v>
                </c:pt>
                <c:pt idx="21">
                  <c:v>36.312999999999995</c:v>
                </c:pt>
                <c:pt idx="22">
                  <c:v>38.233000000000011</c:v>
                </c:pt>
                <c:pt idx="23">
                  <c:v>39.523000000000003</c:v>
                </c:pt>
                <c:pt idx="24">
                  <c:v>38.402000000000001</c:v>
                </c:pt>
                <c:pt idx="25">
                  <c:v>40.671000000000006</c:v>
                </c:pt>
                <c:pt idx="26">
                  <c:v>37.109000000000009</c:v>
                </c:pt>
                <c:pt idx="27">
                  <c:v>39.322000000000003</c:v>
                </c:pt>
                <c:pt idx="28">
                  <c:v>40.389000000000003</c:v>
                </c:pt>
                <c:pt idx="29">
                  <c:v>41.541000000000004</c:v>
                </c:pt>
                <c:pt idx="30">
                  <c:v>45.872</c:v>
                </c:pt>
                <c:pt idx="31">
                  <c:v>41.001000000000005</c:v>
                </c:pt>
                <c:pt idx="32">
                  <c:v>42.922000000000011</c:v>
                </c:pt>
                <c:pt idx="33">
                  <c:v>38.325000000000003</c:v>
                </c:pt>
                <c:pt idx="34">
                  <c:v>39.022506447952182</c:v>
                </c:pt>
                <c:pt idx="35">
                  <c:v>45.108175616771916</c:v>
                </c:pt>
                <c:pt idx="36">
                  <c:v>41.468295968464602</c:v>
                </c:pt>
                <c:pt idx="37">
                  <c:v>45.067958507391296</c:v>
                </c:pt>
                <c:pt idx="38">
                  <c:v>45.957636264309194</c:v>
                </c:pt>
              </c:numCache>
            </c:numRef>
          </c:val>
        </c:ser>
        <c:marker val="1"/>
        <c:axId val="80775040"/>
        <c:axId val="80793600"/>
      </c:lineChart>
      <c:catAx>
        <c:axId val="807750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</c:title>
        <c:numFmt formatCode="General" sourceLinked="1"/>
        <c:tickLblPos val="nextTo"/>
        <c:crossAx val="80793600"/>
        <c:crosses val="autoZero"/>
        <c:auto val="1"/>
        <c:lblAlgn val="ctr"/>
        <c:lblOffset val="100"/>
        <c:tickLblSkip val="5"/>
        <c:tickMarkSkip val="1"/>
      </c:catAx>
      <c:valAx>
        <c:axId val="8079360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Consumption [mtoe]</a:t>
                </a:r>
              </a:p>
            </c:rich>
          </c:tx>
        </c:title>
        <c:numFmt formatCode="0.0" sourceLinked="1"/>
        <c:tickLblPos val="nextTo"/>
        <c:crossAx val="80775040"/>
        <c:crosses val="autoZero"/>
        <c:crossBetween val="between"/>
      </c:valAx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700"/>
              <a:t>Norway Proven Oil Reserves</a:t>
            </a:r>
          </a:p>
        </c:rich>
      </c:tx>
      <c:layout>
        <c:manualLayout>
          <c:xMode val="edge"/>
          <c:yMode val="edge"/>
          <c:x val="0.28009700461578324"/>
          <c:y val="8.0458244546815771E-3"/>
        </c:manualLayout>
      </c:layout>
    </c:title>
    <c:plotArea>
      <c:layout>
        <c:manualLayout>
          <c:layoutTarget val="inner"/>
          <c:xMode val="edge"/>
          <c:yMode val="edge"/>
          <c:x val="0.11821055889750924"/>
          <c:y val="0.11075489156034195"/>
          <c:w val="0.84345603674540681"/>
          <c:h val="0.73278553371013089"/>
        </c:manualLayout>
      </c:layout>
      <c:lineChart>
        <c:grouping val="standard"/>
        <c:ser>
          <c:idx val="0"/>
          <c:order val="0"/>
          <c:tx>
            <c:strRef>
              <c:f>Norway!$A$10</c:f>
              <c:strCache>
                <c:ptCount val="1"/>
                <c:pt idx="0">
                  <c:v>Norway proven reserves</c:v>
                </c:pt>
              </c:strCache>
            </c:strRef>
          </c:tx>
          <c:trendline>
            <c:trendlineType val="poly"/>
            <c:order val="2"/>
          </c:trendline>
          <c:cat>
            <c:numRef>
              <c:f>Norway!$AC$1:$AU$1</c:f>
              <c:numCache>
                <c:formatCode>General</c:formatCode>
                <c:ptCount val="19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</c:numCache>
            </c:numRef>
          </c:cat>
          <c:val>
            <c:numRef>
              <c:f>Norway!$AC$10:$AU$10</c:f>
              <c:numCache>
                <c:formatCode>0.0</c:formatCode>
                <c:ptCount val="19"/>
                <c:pt idx="0">
                  <c:v>12.040821640579759</c:v>
                </c:pt>
                <c:pt idx="1">
                  <c:v>11.663025425702749</c:v>
                </c:pt>
                <c:pt idx="2">
                  <c:v>10.92082775792845</c:v>
                </c:pt>
                <c:pt idx="3">
                  <c:v>11.372534888510311</c:v>
                </c:pt>
                <c:pt idx="4">
                  <c:v>11.596971133963201</c:v>
                </c:pt>
                <c:pt idx="5">
                  <c:v>10.448168228168598</c:v>
                </c:pt>
                <c:pt idx="6">
                  <c:v>10.149069394281449</c:v>
                </c:pt>
                <c:pt idx="7">
                  <c:v>9.7219418851873485</c:v>
                </c:pt>
                <c:pt idx="8">
                  <c:v>9.697453910899732</c:v>
                </c:pt>
                <c:pt idx="9">
                  <c:v>8.5481629359129911</c:v>
                </c:pt>
                <c:pt idx="10">
                  <c:v>8.1715881886048649</c:v>
                </c:pt>
                <c:pt idx="11">
                  <c:v>7.5013729013253423</c:v>
                </c:pt>
              </c:numCache>
            </c:numRef>
          </c:val>
        </c:ser>
        <c:marker val="1"/>
        <c:axId val="80900480"/>
        <c:axId val="80902400"/>
      </c:lineChart>
      <c:catAx>
        <c:axId val="809004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</c:title>
        <c:numFmt formatCode="General" sourceLinked="0"/>
        <c:tickLblPos val="nextTo"/>
        <c:crossAx val="80902400"/>
        <c:crosses val="autoZero"/>
        <c:auto val="1"/>
        <c:lblAlgn val="ctr"/>
        <c:lblOffset val="100"/>
        <c:tickLblSkip val="2"/>
      </c:catAx>
      <c:valAx>
        <c:axId val="8090240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Oil [mtoe]</a:t>
                </a:r>
              </a:p>
            </c:rich>
          </c:tx>
        </c:title>
        <c:numFmt formatCode="0.0" sourceLinked="1"/>
        <c:tickLblPos val="nextTo"/>
        <c:crossAx val="8090048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7015-C063-442F-B768-92B97B2B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17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rkamprath</dc:creator>
  <cp:lastModifiedBy>rkamprath</cp:lastModifiedBy>
  <cp:revision>94</cp:revision>
  <dcterms:created xsi:type="dcterms:W3CDTF">2009-11-27T19:01:00Z</dcterms:created>
  <dcterms:modified xsi:type="dcterms:W3CDTF">2010-02-18T22:13:00Z</dcterms:modified>
</cp:coreProperties>
</file>